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136879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70.05pt;width:410.8pt;height:195.0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F83976" w:rsidRDefault="00F83976" w:rsidP="00F8397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ФНС сделала свои разъяснения, опираясь на то, что уведомление по налогу на имущество нужно представлять, если по НК РФ налог уплачивают до подачи декларации или последнюю вовсе не сдают.</w:t>
                  </w:r>
                </w:p>
                <w:p w:rsidR="00BB153F" w:rsidRPr="00BB153F" w:rsidRDefault="00BB153F" w:rsidP="00F8397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F83976" w:rsidRDefault="00F83976" w:rsidP="00F8397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руководствоваться разъяснениями ведомства.</w:t>
                  </w: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уведомление за 2023 г. в 2024 г. представлять не нужно для объектов, которые облагаются исходя из среднегодовой стоимости. Также это верно для объектов налогоплательщиков – иностранных организаций, которые платят налог исходя из кадастровой стоимости. Речь идет об объектах, сумму налога по которым отражают в декларации;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уведомление за 2023 г. в 2024 г. подавать нужно для объектов, по которым российские организации платят налог исходя из кадастровой стоимости. По ним сумму налога не показывают в декларации.</w:t>
                  </w:r>
                </w:p>
                <w:p w:rsidR="005D1995" w:rsidRPr="00FE0CF5" w:rsidRDefault="005D1995" w:rsidP="00F83976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55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FD4EF0" w:rsidRDefault="00351D75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BB153F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32.6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F83976" w:rsidRDefault="00F83976" w:rsidP="00F8397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ЕНП И УВЕДОМЛЕНИЕ ПО НАЛОГУ НА ИМУЩЕСТВО ОРГАНИЗАЦИЙ ЗА 2023 Г.: РЕКОМЕНДАЦИИ ОТ ФНС</w:t>
                  </w:r>
                </w:p>
                <w:p w:rsidR="00F83976" w:rsidRDefault="00F83976" w:rsidP="00F83976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136879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136879">
        <w:rPr>
          <w:i/>
          <w:noProof/>
          <w:lang w:eastAsia="ru-RU"/>
        </w:rPr>
        <w:pict>
          <v:rect id="Rectangle 336" o:spid="_x0000_s1028" style="position:absolute;margin-left:25.3pt;margin-top:99.5pt;width:124.95pt;height:140.0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FE0CF5" w:rsidRDefault="00515423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17.10.2023 N БС-4-21/13243@</w:t>
                    </w:r>
                  </w:hyperlink>
                </w:p>
                <w:p w:rsidR="00436024" w:rsidRPr="005464F3" w:rsidRDefault="00F83976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  <w:r w:rsidR="00436024" w:rsidRPr="0043602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заполнить уведомление об исчисленных суммах налогов, авансовых платежей по налогам, сборов, страховых взносов, уплачиваемых (перечисляемых) в качестве ЕНП (форма по КНД 1110355)</w:t>
                    </w:r>
                  </w:hyperlink>
                </w:p>
                <w:p w:rsidR="00B32E95" w:rsidRDefault="00B32E95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F7343" w:rsidRPr="00AA36B4" w:rsidRDefault="007F734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7F7343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136879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136879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4.25pt;margin-top:285.4pt;width:394.25pt;height:24.9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F83976" w:rsidRDefault="00F83976" w:rsidP="00F8397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СТАВКА НДС 10 ПРОЦЕНТОВ: С 1 ЯНВАРЯ 2024 Г. РАСШИРЯЮТ ПЕРЕЧЕНЬ ТОВАРОВ ДЛЯ ДЕТЕЙ</w:t>
                  </w: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2.2pt;margin-top:14.3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136879" w:rsidP="00735E66">
      <w:pPr>
        <w:rPr>
          <w:b/>
        </w:rPr>
      </w:pPr>
      <w:r w:rsidRPr="00136879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25pt;margin-top:314.2pt;width:408.8pt;height:238.9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30E73" w:rsidRDefault="00330E73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383126">
                    <w:rPr>
                      <w:rFonts w:ascii="Century Gothic" w:hAnsi="Century Gothic"/>
                      <w:sz w:val="19"/>
                      <w:szCs w:val="19"/>
                    </w:rPr>
                    <w:t>По итогам рассмотрения жалоб на решения по проверкам ведомство привело обзор позиций о том, как определять обязательства налогоплательщика.</w:t>
                  </w:r>
                </w:p>
                <w:p w:rsidR="00F83976" w:rsidRPr="00383126" w:rsidRDefault="00F83976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F83976" w:rsidRDefault="00F83976" w:rsidP="00F83976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 перечень товаров для детей, реализация которых облагается по ставке10%, включат: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велосипеды;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стулья;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стульчики для кормления;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манежи;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детские удерживающие устройства, которые предназначены для 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механических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ТС;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бутылочки;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соски (включая пустышки);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горшки;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ванночки;</w:t>
                  </w:r>
                </w:p>
                <w:p w:rsidR="00F83976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горки для купания новорожденных;</w:t>
                  </w:r>
                </w:p>
                <w:p w:rsidR="00F365FE" w:rsidRDefault="00F83976" w:rsidP="00D013B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пеленки.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36879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91.25pt;width:139.6pt;height:57.6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BB153F" w:rsidRDefault="00BB153F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657BD6" w:rsidRDefault="00657BD6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330E73" w:rsidP="0019436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136879" w:rsidP="00735E66">
      <w:pPr>
        <w:rPr>
          <w:rFonts w:ascii="Century Gothic" w:hAnsi="Century Gothic"/>
          <w:sz w:val="28"/>
          <w:szCs w:val="28"/>
        </w:rPr>
      </w:pPr>
      <w:r w:rsidRPr="00136879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5.3pt;margin-top:353.45pt;width:126.15pt;height:107.3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330E73" w:rsidRDefault="00330E73" w:rsidP="00F83976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31684" w:rsidRDefault="00D6456E" w:rsidP="0043602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19.10.2023 N 504-ФЗ</w:t>
                    </w:r>
                  </w:hyperlink>
                </w:p>
                <w:p w:rsidR="00657BD6" w:rsidRPr="003512F3" w:rsidRDefault="00657BD6" w:rsidP="0043602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136879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6.25pt;margin-top:553.1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94360" w:rsidRDefault="00194360" w:rsidP="000D1DB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0D1DB6" w:rsidRDefault="000D1DB6" w:rsidP="000D1DB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  <w:r w:rsidR="00F83976">
                    <w:rPr>
                      <w:b/>
                      <w:color w:val="FFFFFF"/>
                      <w:sz w:val="26"/>
                      <w:szCs w:val="26"/>
                    </w:rPr>
                    <w:t>, Руководителю</w:t>
                  </w:r>
                </w:p>
                <w:p w:rsidR="00E964A1" w:rsidRDefault="00E964A1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7.2pt;margin-top:553.1pt;width:381.3pt;height:20.9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F83976" w:rsidRDefault="00F83976" w:rsidP="00F8397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МИНТРУД ОТВЕТИЛ НА ЧАСТЫЕ ВОПРОСЫ О КВОТАХ ДЛЯ ИНВАЛИДОВ</w:t>
                  </w: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-2.2pt;margin-top:3.35pt;width:548.2pt;height:.05pt;z-index:251962368" o:connectortype="straight"/>
        </w:pict>
      </w:r>
    </w:p>
    <w:p w:rsidR="00E376E4" w:rsidRDefault="00136879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3.8pt;margin-top:574.05pt;width:409.25pt;height:250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F83976" w:rsidRPr="00FA7FC8" w:rsidRDefault="00F83976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 xml:space="preserve">Работодателям разъяснили, как исполнять требования по квотированию рабочих мест для инвалидов. Среди прочего напомнили, что в счет квоты включают </w:t>
                  </w:r>
                  <w:proofErr w:type="spellStart"/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дистанционщиков</w:t>
                  </w:r>
                  <w:proofErr w:type="spellEnd"/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 xml:space="preserve"> и внешних совместителей с инвалидностью.</w:t>
                  </w:r>
                </w:p>
                <w:p w:rsidR="00C85A30" w:rsidRPr="00FA7FC8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Благодаря материалу можно узнать: 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 xml:space="preserve">чтобы нанять нужное количество инвалидов, работодатели вправе просить содействия у службы занятости. Можно информировать население о том, что в организации есть квотируемые места, через СМИ, </w:t>
                  </w:r>
                  <w:proofErr w:type="spellStart"/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соцсети</w:t>
                  </w:r>
                  <w:proofErr w:type="spellEnd"/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, официальные сайты и другие каналы;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 xml:space="preserve">разъяснили, какие сведения о квотировании должны содержать локальные нормативные акты. В них нужно отразить: 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период действия квоты;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среднесписочную численность сотрудников за IV квартал предыдущего года;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количество работников с вредными и опасными условиями труда;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число созданных или выделенных мест с указанием должности либо профессии;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лицо, ответственное за квотирование и подачу сведений в центр занятости.</w:t>
                  </w:r>
                </w:p>
                <w:p w:rsidR="00F83976" w:rsidRPr="00FA7FC8" w:rsidRDefault="00F83976" w:rsidP="00D013BF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ответственность за невыполнение квоты несет работодатель, даже если сторонняя организация не наняла нужное количество людей вопреки соглашению о трудоустройстве инвалидов.</w:t>
                  </w:r>
                </w:p>
                <w:p w:rsidR="00F83976" w:rsidRPr="00FA7FC8" w:rsidRDefault="00F83976" w:rsidP="00FA7FC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Риски неприменения документа:</w:t>
                  </w:r>
                </w:p>
                <w:p w:rsidR="00F83976" w:rsidRDefault="00F83976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A7FC8">
                    <w:rPr>
                      <w:rFonts w:ascii="Century Gothic" w:hAnsi="Century Gothic"/>
                      <w:sz w:val="18"/>
                      <w:szCs w:val="18"/>
                    </w:rPr>
                    <w:t>за неисполнение обязанности по квотированию рабочих мест для должностного лица предусмотрен штраф от 5 000 до 10 000 руб.</w:t>
                  </w:r>
                </w:p>
                <w:p w:rsidR="001A4B0A" w:rsidRPr="00BB153F" w:rsidRDefault="001A4B0A" w:rsidP="00D013B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136879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5.3pt;margin-top:619.2pt;width:124.85pt;height:136.1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43602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43602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6024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Минтруда России от 12.09.2023 N 16-5/10/П-7129</w:t>
                    </w:r>
                  </w:hyperlink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83976" w:rsidRDefault="00F83976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осуществляется квотирование рабочих мест для приема на работу инвалидов</w:t>
                    </w:r>
                  </w:hyperlink>
                </w:p>
                <w:p w:rsidR="00432C71" w:rsidRPr="003512F3" w:rsidRDefault="00432C71" w:rsidP="0043602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36879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136879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90B8E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36879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7.1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FA7FC8" w:rsidRDefault="00FA7FC8" w:rsidP="00FA7FC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УСТАНОВЛЕНА ОТВЕТСТВЕННОСТЬ ЗА НАВЯЗЫВАНИЕ ПОТРЕБИТЕЛЯМ ДОПОЛНИТЕЛЬНЫХ ТОВАРОВ, РАБОТ И УСЛУГ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136879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136879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69.2pt;margin-top:75.95pt;width:406.75pt;height:236.9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FA7FC8" w:rsidRDefault="00FA7FC8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Опубликован закон с поправками к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КоАП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РФ. Он предусматривает 2 новых состава нарушений. Первый касается навязывания дополнительных товаров, работ или услуг за отдельную плату, а второй – необоснованного отказа рассматривать требования об ущемлении прав потребителя.</w:t>
                  </w:r>
                </w:p>
                <w:p w:rsidR="00231B9A" w:rsidRPr="00381496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 навязывание дополнительных товаров, работ или услуг за отдельную плату должностных лиц будут штрафовать на сумму от 2 000 до 4 000 руб., а компании – от 20 тыс. до 40 тыс. руб. Речь идет о ситуациях, когда вопреки закону: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до заключения договора потребителю сообщают, что для покупки основных товаров, работ либо услуг нужно приобрести дополнительные или заключить иные соглашения;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в договоре покупка основных товаров, работ либо услуг обусловлена обязательным приобретением дополнительных.</w:t>
                  </w:r>
                  <w:proofErr w:type="gramEnd"/>
                </w:p>
                <w:p w:rsidR="001A4B0A" w:rsidRP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 необоснованный отказ рассматривать требования об ущемлении прав должностное лицо заплатит от 15 тыс. до 30 тыс. руб., а компания – от 100 тыс. до 300 тыс. руб. То же грозит за уклонение от рассмотрения в законном порядке претензий о нарушении прав потребителя.</w:t>
                  </w: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136879" w:rsidP="00324743">
      <w:pPr>
        <w:rPr>
          <w:rFonts w:ascii="Century Gothic" w:hAnsi="Century Gothic" w:cs="Century Gothic"/>
          <w:sz w:val="28"/>
          <w:szCs w:val="28"/>
        </w:rPr>
      </w:pPr>
      <w:r w:rsidRPr="00136879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3.35pt;margin-top:120.45pt;width:121.05pt;height:157.1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FA7FC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A7FC8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19.10.2023 N 505-ФЗ</w:t>
                    </w:r>
                  </w:hyperlink>
                </w:p>
                <w:p w:rsidR="00436024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A7FC8" w:rsidRDefault="00FA7FC8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«Новые штрафы за некоторые нарушения прав потребителей начнут действовать с 30 октября 2023 года»</w:t>
                    </w:r>
                  </w:hyperlink>
                </w:p>
                <w:p w:rsidR="00FA7FC8" w:rsidRPr="004366EC" w:rsidRDefault="00FA7FC8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136879" w:rsidP="00324743">
      <w:pPr>
        <w:rPr>
          <w:rFonts w:ascii="Century Gothic" w:hAnsi="Century Gothic" w:cs="Century Gothic"/>
          <w:sz w:val="28"/>
          <w:szCs w:val="28"/>
        </w:rPr>
      </w:pPr>
      <w:r w:rsidRPr="00136879">
        <w:rPr>
          <w:noProof/>
          <w:sz w:val="16"/>
          <w:szCs w:val="16"/>
        </w:rPr>
        <w:pict>
          <v:shape id="_x0000_s1480" type="#_x0000_t202" style="position:absolute;margin-left:175.3pt;margin-top:312.8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FA7FC8" w:rsidRDefault="00FA7FC8" w:rsidP="00FA7FC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РАЗЪЯСНЕНЫ ОСОБЕННОСТИ ЗАКУПОК У ЕДИНСТВЕННОГО ПОСТАВЩИКА, ПРИ КОТОРЫХ КОНТРАКТ МОЖНО ЗАКЛЮЧИТЬ В ЛЮБОЙ ФОРМЕ</w:t>
                  </w: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136879">
        <w:rPr>
          <w:noProof/>
        </w:rPr>
        <w:pict>
          <v:shape id="_x0000_s1432" type="#_x0000_t202" style="position:absolute;margin-left:23.35pt;margin-top:312.85pt;width:136.75pt;height:88.4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Закону N </w:t>
                  </w:r>
                  <w:r w:rsidR="007F7343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36879">
        <w:rPr>
          <w:noProof/>
        </w:rPr>
        <w:pict>
          <v:shape id="_x0000_s1484" type="#_x0000_t32" style="position:absolute;margin-left:-9.75pt;margin-top:7.6pt;width:548.2pt;height:.05pt;z-index:251975680" o:connectortype="straight"/>
        </w:pict>
      </w:r>
    </w:p>
    <w:p w:rsidR="00324743" w:rsidRPr="00DC486F" w:rsidRDefault="00136879" w:rsidP="00324743">
      <w:pPr>
        <w:rPr>
          <w:rFonts w:ascii="Century Gothic" w:hAnsi="Century Gothic" w:cs="Century Gothic"/>
          <w:b/>
          <w:sz w:val="28"/>
          <w:szCs w:val="28"/>
        </w:rPr>
      </w:pPr>
      <w:r w:rsidRPr="00136879">
        <w:rPr>
          <w:noProof/>
        </w:rPr>
        <w:pict>
          <v:shape id="_x0000_s1407" type="#_x0000_t202" style="position:absolute;margin-left:171.25pt;margin-top:343pt;width:402.65pt;height:217.2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FA7FC8" w:rsidRDefault="00FA7FC8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Минфин рассказал о нюансах заключения контрактов с единственным поставщиком в упрощенной форме. Среди прочего ведомство сообщило, допустима ли устная форма, какие требования Закона N 44-ФЗ можно не учитывать и что включить в документ, если сведения размещают в реестре контрактов.</w:t>
                  </w: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контракт в упрощенной форме нельзя заключить устно, хотя Закон N 44-ФЗ и разрешает оформить такую сделку в любом виде по ГК РФ;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все требования Закона N 44-ФЗ, которые можно не учитывать при заключении «упрощенного» контракта, перечислены в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спецнорме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. Остальные нужно соблюдать;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 «упрощенный» контракт рекомендовано включать не только обязательные сведения, но и те, которые будут проверять перед размещением в реестре контрактов;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заказчик обязан соблюдать требования НК РФ в части удержания и уплаты налогов налоговым агентом (если заказчик им выступает), даже если такое условие не включили в «упрощенный» контракт.</w:t>
                  </w:r>
                </w:p>
                <w:p w:rsidR="00FE0CF5" w:rsidRPr="006B3266" w:rsidRDefault="00FE0CF5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136879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136879">
        <w:rPr>
          <w:noProof/>
        </w:rPr>
        <w:pict>
          <v:rect id="_x0000_s1465" style="position:absolute;left:0;text-align:left;margin-left:25.7pt;margin-top:409.8pt;width:126.2pt;height:132.1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19436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2343" w:rsidRDefault="00B52343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Информацио</w:t>
                    </w:r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ное письмо Минфина России от 20.10.2023 N 24-01-07/99890</w:t>
                    </w:r>
                  </w:hyperlink>
                </w:p>
                <w:p w:rsidR="00330E73" w:rsidRPr="00383126" w:rsidRDefault="00330E73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38312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bookmarkStart w:id="0" w:name="_Hlk149059123"/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464F3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/>
                  </w:r>
                  <w:r w:rsidRPr="005464F3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HYPERLINK "consultantplus://offline/ref=A8587029A40D791899E91D1156025A5A4648516F142B7FFC8F1D85559C8E8A637C1E8EC7C7XCyBN" </w:instrText>
                  </w:r>
                  <w:r w:rsidRPr="005464F3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5464F3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5464F3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 xml:space="preserve">Обзор: «Заключение </w:t>
                  </w:r>
                  <w:proofErr w:type="spellStart"/>
                  <w:r w:rsidRPr="005464F3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>госконтракта</w:t>
                  </w:r>
                  <w:proofErr w:type="spellEnd"/>
                  <w:r w:rsidRPr="005464F3">
                    <w:rPr>
                      <w:rStyle w:val="aa"/>
                      <w:rFonts w:ascii="Century Gothic" w:hAnsi="Century Gothic"/>
                      <w:sz w:val="16"/>
                      <w:szCs w:val="16"/>
                    </w:rPr>
                    <w:t xml:space="preserve"> с единственным поставщиком в упрощенной форме: рекомендации Минфина»</w:t>
                  </w:r>
                  <w:bookmarkEnd w:id="0"/>
                  <w:r w:rsidRPr="005464F3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  <w:p w:rsidR="00CE2344" w:rsidRDefault="00CE2344" w:rsidP="00CE2344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136879" w:rsidP="002D547F">
      <w:pPr>
        <w:rPr>
          <w:rFonts w:ascii="Century Gothic" w:hAnsi="Century Gothic" w:cs="Century Gothic"/>
          <w:sz w:val="16"/>
          <w:szCs w:val="16"/>
        </w:rPr>
      </w:pPr>
      <w:r w:rsidRPr="00136879">
        <w:rPr>
          <w:noProof/>
          <w:lang w:eastAsia="ru-RU"/>
        </w:rPr>
        <w:pict>
          <v:shape id="_x0000_s1487" type="#_x0000_t202" style="position:absolute;margin-left:175.3pt;margin-top:566.85pt;width:406.75pt;height:22.4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FA7FC8" w:rsidRDefault="00FA7FC8" w:rsidP="00FA7FC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ВЕРХОВНЫЙ СУД РФ ПОДГОТОВИЛ ОБЗОР СУДЕБНОЙ ПРАКТИКИ ПО ДЕЛАМ О ЗАЩИТЕ ПРАВ ПОТРЕБИТЕЛЕЙ ЗА 2022 – 2023 ГГ.</w:t>
                  </w:r>
                </w:p>
                <w:p w:rsidR="00330E73" w:rsidRPr="006B2B12" w:rsidRDefault="00330E73" w:rsidP="00AB4E8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6B3266" w:rsidRDefault="00330E73" w:rsidP="00330E73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330E73" w:rsidRPr="008C248D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BA00D3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EB2687" w:rsidRDefault="00330E73" w:rsidP="00330E73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136879">
        <w:rPr>
          <w:noProof/>
          <w:lang w:eastAsia="ru-RU"/>
        </w:rPr>
        <w:pict>
          <v:shape id="_x0000_s1486" type="#_x0000_t32" style="position:absolute;margin-left:-7.7pt;margin-top:12.25pt;width:548.2pt;height:.05pt;z-index:251976704" o:connectortype="straight"/>
        </w:pict>
      </w:r>
    </w:p>
    <w:p w:rsidR="00783CDD" w:rsidRDefault="00136879" w:rsidP="001C23BE">
      <w:pPr>
        <w:spacing w:after="0" w:line="240" w:lineRule="auto"/>
        <w:rPr>
          <w:rFonts w:ascii="Century Gothic" w:hAnsi="Century Gothic" w:cs="Century Gothic"/>
        </w:rPr>
      </w:pPr>
      <w:r w:rsidRPr="00136879">
        <w:rPr>
          <w:noProof/>
          <w:lang w:eastAsia="ru-RU"/>
        </w:rPr>
        <w:pict>
          <v:shape id="_x0000_s1489" type="#_x0000_t202" style="position:absolute;margin-left:18.2pt;margin-top:570.1pt;width:136.75pt;height:47.15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FA7FC8" w:rsidRDefault="00FA7FC8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330E73" w:rsidRPr="00C3622A" w:rsidRDefault="00FA7FC8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330E73" w:rsidRPr="00A56B9E" w:rsidRDefault="00330E73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330E73" w:rsidRPr="00C066C7" w:rsidRDefault="00330E73" w:rsidP="00330E7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136879" w:rsidP="007E2FE2">
      <w:pPr>
        <w:rPr>
          <w:lang w:eastAsia="ru-RU"/>
        </w:rPr>
      </w:pPr>
      <w:r>
        <w:rPr>
          <w:noProof/>
          <w:lang w:eastAsia="ru-RU"/>
        </w:rPr>
        <w:pict>
          <v:rect id="_x0000_s1491" style="position:absolute;margin-left:25.7pt;margin-top:626.65pt;width:126.2pt;height:135.9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1" inset="0,0,0,0">
              <w:txbxContent>
                <w:p w:rsidR="00FA7FC8" w:rsidRDefault="00FA7FC8" w:rsidP="00FA7FC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FA7FC8" w:rsidRDefault="00FA7FC8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436024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5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судебной практики по делам о защите прав потребителей (утв. Президиумом Верховного Суда РФ 18.10.2023)</w:t>
                    </w:r>
                  </w:hyperlink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A7FC8" w:rsidRDefault="00FA7FC8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6024" w:rsidRPr="005464F3" w:rsidRDefault="00436024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6" w:history="1">
                    <w:r w:rsidRPr="005464F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«Верховный суд обобщил практику по защите прав потребителей»</w:t>
                    </w:r>
                  </w:hyperlink>
                </w:p>
                <w:p w:rsidR="00FA7FC8" w:rsidRDefault="00FA7FC8" w:rsidP="00FA7FC8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shape id="_x0000_s1488" type="#_x0000_t202" style="position:absolute;margin-left:179.4pt;margin-top:603.45pt;width:402.65pt;height:215.4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330E73" w:rsidRDefault="00330E73" w:rsidP="00330E73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FA7FC8" w:rsidRDefault="00FA7FC8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Может ли продавец отменить интернет-заказ из-за некорректной цены? Вправе ли покупатель заменить автомобиль из-за некачественной обивки сидений? Какая продолжительность гарантийного срока при покупке квартиры? Ответы на эти и другие вопросы Верховный суд РФ дал в своем обзоре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.</w:t>
                  </w:r>
                  <w:proofErr w:type="gramEnd"/>
                </w:p>
                <w:p w:rsidR="00FA7FC8" w:rsidRPr="00FA7FC8" w:rsidRDefault="00FA7FC8" w:rsidP="00FA7FC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A7FC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FA7FC8" w:rsidRDefault="00FA7FC8" w:rsidP="00FA7FC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причинение вреда здоровью покупателя не исключает взыскание потребительского штрафа;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управляющая организация отвечает за ненадлежащее качество услуг не только перед жильцами дома;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продавец не может в одностороннем порядке изменить цену </w:t>
                  </w:r>
                  <w:proofErr w:type="spellStart"/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интернет-заказа</w:t>
                  </w:r>
                  <w:proofErr w:type="spellEnd"/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отменить его;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гарантийный срок при покупке квартиры не у застройщика составляет по общему правилу 2 года, а не 5 лет;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для замены автомобиля или электроники после проявления ранее устраненного недостатка неважно, насколько он серьезен;</w:t>
                  </w:r>
                </w:p>
                <w:p w:rsidR="00FA7FC8" w:rsidRDefault="00FA7FC8" w:rsidP="00D013BF">
                  <w:pPr>
                    <w:pStyle w:val="af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при взыскании убытков в размере удорожания товара суд обязан руководствоваться ценами на дату удовлетворения требования.</w:t>
                  </w:r>
                </w:p>
                <w:p w:rsidR="00AB4E85" w:rsidRPr="00AB4E85" w:rsidRDefault="00AB4E85" w:rsidP="00FA7FC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Pr="007E2FE2" w:rsidRDefault="00BB153F" w:rsidP="00BB153F">
      <w:pPr>
        <w:tabs>
          <w:tab w:val="left" w:pos="2618"/>
        </w:tabs>
        <w:rPr>
          <w:lang w:eastAsia="ru-RU"/>
        </w:rPr>
      </w:pPr>
      <w:r>
        <w:rPr>
          <w:lang w:eastAsia="ru-RU"/>
        </w:rPr>
        <w:tab/>
      </w: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7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5B" w:rsidRDefault="006D335B" w:rsidP="00735E66">
      <w:pPr>
        <w:spacing w:after="0" w:line="240" w:lineRule="auto"/>
      </w:pPr>
      <w:r>
        <w:separator/>
      </w:r>
    </w:p>
  </w:endnote>
  <w:endnote w:type="continuationSeparator" w:id="0">
    <w:p w:rsidR="006D335B" w:rsidRDefault="006D335B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5B" w:rsidRDefault="006D335B" w:rsidP="00735E66">
      <w:pPr>
        <w:spacing w:after="0" w:line="240" w:lineRule="auto"/>
      </w:pPr>
      <w:r>
        <w:separator/>
      </w:r>
    </w:p>
  </w:footnote>
  <w:footnote w:type="continuationSeparator" w:id="0">
    <w:p w:rsidR="006D335B" w:rsidRDefault="006D335B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574"/>
    <w:multiLevelType w:val="hybridMultilevel"/>
    <w:tmpl w:val="E0BA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3F6B"/>
    <w:multiLevelType w:val="hybridMultilevel"/>
    <w:tmpl w:val="72F8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81252"/>
    <w:multiLevelType w:val="hybridMultilevel"/>
    <w:tmpl w:val="FBB0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D2D"/>
    <w:multiLevelType w:val="hybridMultilevel"/>
    <w:tmpl w:val="11EA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07920"/>
    <w:multiLevelType w:val="hybridMultilevel"/>
    <w:tmpl w:val="1B7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46FE4"/>
    <w:multiLevelType w:val="hybridMultilevel"/>
    <w:tmpl w:val="7BD87A5A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43ED6"/>
    <w:multiLevelType w:val="hybridMultilevel"/>
    <w:tmpl w:val="5744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E062B"/>
    <w:multiLevelType w:val="hybridMultilevel"/>
    <w:tmpl w:val="98009BCE"/>
    <w:lvl w:ilvl="0" w:tplc="3F421A2E">
      <w:start w:val="1"/>
      <w:numFmt w:val="bullet"/>
      <w:lvlText w:val="-"/>
      <w:lvlJc w:val="left"/>
      <w:pPr>
        <w:ind w:left="6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75F23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E6C33"/>
    <w:rsid w:val="000F0A5F"/>
    <w:rsid w:val="000F1B2A"/>
    <w:rsid w:val="000F23F9"/>
    <w:rsid w:val="000F2CB8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6879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38F2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93C51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6024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35B"/>
    <w:rsid w:val="006D35F9"/>
    <w:rsid w:val="006D4538"/>
    <w:rsid w:val="006D5360"/>
    <w:rsid w:val="006D5A77"/>
    <w:rsid w:val="006E12A7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19D2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68AC"/>
    <w:rsid w:val="00A17171"/>
    <w:rsid w:val="00A20788"/>
    <w:rsid w:val="00A228D9"/>
    <w:rsid w:val="00A24F4D"/>
    <w:rsid w:val="00A33CF8"/>
    <w:rsid w:val="00A344EC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5F33"/>
    <w:rsid w:val="00AF3504"/>
    <w:rsid w:val="00AF5698"/>
    <w:rsid w:val="00B00F29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2E95"/>
    <w:rsid w:val="00B330F1"/>
    <w:rsid w:val="00B35744"/>
    <w:rsid w:val="00B358E2"/>
    <w:rsid w:val="00B37972"/>
    <w:rsid w:val="00B41CE8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13BF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2687"/>
    <w:rsid w:val="00EC0920"/>
    <w:rsid w:val="00EC1530"/>
    <w:rsid w:val="00EC1A0A"/>
    <w:rsid w:val="00EC73FF"/>
    <w:rsid w:val="00ED03AA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3976"/>
    <w:rsid w:val="00F84193"/>
    <w:rsid w:val="00F84C5B"/>
    <w:rsid w:val="00F86216"/>
    <w:rsid w:val="00F9643A"/>
    <w:rsid w:val="00FA0479"/>
    <w:rsid w:val="00FA0BE5"/>
    <w:rsid w:val="00FA3502"/>
    <w:rsid w:val="00FA7FC8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  <o:rules v:ext="edit">
        <o:r id="V:Rule5" type="connector" idref="#_x0000_s1486"/>
        <o:r id="V:Rule6" type="connector" idref="#_x0000_s1467"/>
        <o:r id="V:Rule7" type="connector" idref="#_x0000_s1442"/>
        <o:r id="V:Rule8" type="connector" idref="#_x0000_s14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75680401CC9288AD48AD9125E1DF81195E421284777568E292C3A339FD4B4226C23A8A3xBm7M" TargetMode="External"/><Relationship Id="rId13" Type="http://schemas.openxmlformats.org/officeDocument/2006/relationships/hyperlink" Target="consultantplus://offline/ref=CC88B5A28ACEE534C3199D4456E62F57D1213FA2EF1484F0441224D5539EF3F1E502E23A82z8N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65E915553065406A11642C37521E86EBBAE3BA34DABA80C29DBD6C0298F4DD22A476B52c9C4M" TargetMode="External"/><Relationship Id="rId12" Type="http://schemas.openxmlformats.org/officeDocument/2006/relationships/hyperlink" Target="consultantplus://offline/ref=2C230ACE577D23EF773091E53D03DF0E31DAAD978DF5C664183D6426180EB7F9287F65CC3FHEH9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8A25E8D15733CFCF2B91D6FABE92DA23D242242FC5BD8C9487E9A3E7E6E7E2202D7DFECAVDs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BEE01D8CF7E43CA79CDA47368A2F50605B8D5991E3CA762F228830CA470752EF040BC383J9p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785802BEFE4EA2A2213393E87B1DF887EDDEE61CE53A8DDB7445ED48842EA7497D8ECAC7VCbFJ" TargetMode="External"/><Relationship Id="rId10" Type="http://schemas.openxmlformats.org/officeDocument/2006/relationships/hyperlink" Target="consultantplus://offline/ref=C468D1AAA7DBDDD60B94B52E59F59FF6C81DD50CC34935634EAA53B4D9C2D3DE69A53C4C18F2m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B066FD292F8C23E856E5C436BDF967942762F72FE521FE94B0C74FB956645083048AC0EmDs5M" TargetMode="External"/><Relationship Id="rId14" Type="http://schemas.openxmlformats.org/officeDocument/2006/relationships/hyperlink" Target="consultantplus://offline/ref=4BE6E8D0A30C69A2B1A86EF974D36D7DDE380EAA9FA61ADE3D67BB2B4688C5A6F31801B6DBE6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2023-10-29T17:46:00Z</dcterms:created>
  <dcterms:modified xsi:type="dcterms:W3CDTF">2023-10-29T17:46:00Z</dcterms:modified>
</cp:coreProperties>
</file>