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0F3D1A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60.85pt;width:410.8pt;height:174.1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Минэкономразвития опубликовало коэффициенты-дефляторы на 2024 г.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53F" w:rsidRPr="00BB153F" w:rsidRDefault="00BB153F" w:rsidP="00BB153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организации и предприниматели узнают, какие коэффициенты-дефляторы использовать при уплате отдельных налогов.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6E3941" w:rsidRPr="00EB0E4D" w:rsidRDefault="006E3941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Коэффициенты-дефляторы установлены в следующих размерах: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1,329 – для УСН;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2,400 – для НДФЛ;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1,284 – для налога на дополнительный доход от добычи углеводородного сырья;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1,058 – для ПСН;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1,828 – для торгового сбора.</w:t>
                  </w:r>
                </w:p>
                <w:p w:rsidR="005D1995" w:rsidRPr="00FE0CF5" w:rsidRDefault="005D1995" w:rsidP="00BB153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23.4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 2024 Г. УТВЕРЖДЕНЫ КОЭФФИЦИЕНТЫ-ДЕФЛЯТОРЫ</w:t>
                  </w:r>
                </w:p>
                <w:p w:rsidR="003512F3" w:rsidRPr="005A03AD" w:rsidRDefault="003512F3" w:rsidP="003512F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55.8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E162BE" w:rsidRDefault="00E162B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FD4EF0" w:rsidRDefault="00351D75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0F3D1A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 w:rsidRPr="000F3D1A">
        <w:rPr>
          <w:i/>
          <w:noProof/>
          <w:lang w:eastAsia="ru-RU"/>
        </w:rPr>
        <w:pict>
          <v:rect id="Rectangle 336" o:spid="_x0000_s1028" style="position:absolute;margin-left:25.3pt;margin-top:99.5pt;width:124.95pt;height:63.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FE0CF5" w:rsidRDefault="00515423" w:rsidP="006E3941">
                  <w:pPr>
                    <w:pBdr>
                      <w:bottom w:val="single" w:sz="4" w:space="1" w:color="auto"/>
                    </w:pBd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B153F" w:rsidRDefault="00BB153F" w:rsidP="006E3941">
                  <w:pPr>
                    <w:pBdr>
                      <w:bottom w:val="single" w:sz="4" w:space="1" w:color="auto"/>
                    </w:pBd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6E3941">
                  <w:pPr>
                    <w:pBdr>
                      <w:bottom w:val="single" w:sz="4" w:space="1" w:color="auto"/>
                    </w:pBd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Минэкономразвития России от </w:t>
                    </w:r>
                    <w:bookmarkStart w:id="0" w:name="_Hlk151569366"/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23.10.2023 N 730</w:t>
                    </w:r>
                    <w:bookmarkEnd w:id="0"/>
                  </w:hyperlink>
                </w:p>
                <w:p w:rsidR="007F7343" w:rsidRPr="00AA36B4" w:rsidRDefault="007F7343" w:rsidP="006E3941">
                  <w:pPr>
                    <w:pBdr>
                      <w:bottom w:val="single" w:sz="4" w:space="1" w:color="auto"/>
                    </w:pBd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6E3941">
                  <w:pPr>
                    <w:pBdr>
                      <w:bottom w:val="single" w:sz="4" w:space="1" w:color="auto"/>
                    </w:pBd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E3941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0F3D1A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16.25pt;margin-top:251.3pt;width:139.6pt;height:67.4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E162BE" w:rsidRDefault="00E162BE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57BD6" w:rsidRDefault="00657BD6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  <w:r w:rsidR="006E3941">
                    <w:rPr>
                      <w:b/>
                      <w:color w:val="FFFFFF"/>
                      <w:sz w:val="24"/>
                      <w:szCs w:val="24"/>
                    </w:rPr>
                    <w:t xml:space="preserve">коммерческому и </w:t>
                  </w:r>
                </w:p>
                <w:p w:rsidR="00D6456E" w:rsidRPr="00C066C7" w:rsidRDefault="00E162BE" w:rsidP="0019436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</w:txbxContent>
            </v:textbox>
            <w10:wrap anchorx="page" anchory="page"/>
          </v:shape>
        </w:pict>
      </w:r>
      <w:r w:rsidRPr="000F3D1A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178.15pt;margin-top:246.75pt;width:394.25pt;height:34.1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ПОСОБИЕ ПО УХОДУ ЗА РЕБЕНКОМ РАБОТНИКУ НА ГПД: СФР ПОЯСНИЛ, КАК ОПРЕДЕЛИТЬ ДАТУ ОКОНЧАНИЯ ОТПУСКА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0F3D1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4.85pt;margin-top:.7pt;width:548.2pt;height:.05pt;z-index:251951104" o:connectortype="straight"/>
        </w:pict>
      </w:r>
    </w:p>
    <w:p w:rsidR="00C42FDD" w:rsidRDefault="006E3941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0F3D1A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25pt;margin-top:280.85pt;width:408.8pt;height:218.6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6E3941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СФР рассмотрел вопрос о назначении и выплате ежемесячного пособия по уходу за ребенком лицу, выполняющему работы по ГПД.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BB153F" w:rsidRDefault="00BB153F" w:rsidP="00BB153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П</w:t>
                  </w:r>
                  <w:r w:rsidRPr="00B6490A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ольза:</w:t>
                  </w:r>
                  <w:r w:rsidRPr="00B6490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организация сможет правильно заполнить документы для назначения пособия по уходу за ребенком.</w:t>
                  </w:r>
                </w:p>
                <w:p w:rsidR="00330E73" w:rsidRPr="00383126" w:rsidRDefault="00330E73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для назначения и выплаты пособия по уходу за ребенком страхователь указывает: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период договора, если его срок заканчивается до того, как ребенку исполнится 1,5 года;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либо период до достижения ребенком 1,5 лет, если договор действует после этого срока.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эти периоды приводят вместо сведений о датах начала и окончания отпуска.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отношения по ГПД регулирует ГК РФ, т.е. сотруднику нельзя оформить отпуск по ТК РФ и указать его период в сведениях для фонда.</w:t>
                  </w:r>
                </w:p>
                <w:p w:rsidR="00F365FE" w:rsidRDefault="00F365FE" w:rsidP="00330E7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0F3D1A" w:rsidP="00735E66">
      <w:r w:rsidRPr="000F3D1A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5.3pt;margin-top:333.8pt;width:126.15pt;height:107.3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330E73" w:rsidRDefault="00330E73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831684" w:rsidRDefault="00D6456E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162BE" w:rsidRDefault="00E162BE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СФР от 23.10.2023 N 14-02/110522л</w:t>
                    </w:r>
                  </w:hyperlink>
                </w:p>
                <w:p w:rsidR="00657BD6" w:rsidRPr="003512F3" w:rsidRDefault="00657BD6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6E3941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467" type="#_x0000_t32" style="position:absolute;left:0;text-align:left;margin-left:-.6pt;margin-top:15.45pt;width:548.2pt;height:.05pt;z-index:251962368" o:connectortype="straight"/>
        </w:pict>
      </w:r>
    </w:p>
    <w:p w:rsidR="00204C7D" w:rsidRDefault="006E3941" w:rsidP="00D24391">
      <w:pPr>
        <w:ind w:left="-142"/>
      </w:pPr>
      <w:r w:rsidRPr="000F3D1A">
        <w:rPr>
          <w:noProof/>
          <w:lang w:eastAsia="ru-RU"/>
        </w:rPr>
        <w:pict>
          <v:shape id="_x0000_s1469" type="#_x0000_t202" style="position:absolute;left:0;text-align:left;margin-left:191.1pt;margin-top:530.85pt;width:381.3pt;height:28.1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ОБНОВИЛ ИНСТРУКЦИЮ N 33Н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0F3D1A">
        <w:rPr>
          <w:noProof/>
          <w:lang w:eastAsia="ru-RU"/>
        </w:rPr>
        <w:pict>
          <v:shape id="_x0000_s1468" type="#_x0000_t202" style="position:absolute;left:0;text-align:left;margin-left:19.5pt;margin-top:523.65pt;width:139.6pt;height:56.9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E964A1" w:rsidRDefault="006E3941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Бухгалтеру бюджетному </w:t>
                  </w: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0F3D1A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8.15pt;margin-top:565.6pt;width:409.25pt;height:216.6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В пояснительную записку включили новые таблицы. Изменения затрагивают и отчеты по формам 0503737, 0503723, 0503773. Новшества нужно применять уже с отчетности за 2023 г.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E3941" w:rsidRPr="00EB0E4D" w:rsidRDefault="0042380F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</w:t>
                  </w:r>
                  <w:proofErr w:type="gramEnd"/>
                  <w:r w:rsidR="006E3941" w:rsidRPr="006E3941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r w:rsidR="006E3941" w:rsidRPr="00EB0E4D">
                    <w:rPr>
                      <w:rFonts w:ascii="Century Gothic" w:hAnsi="Century Gothic"/>
                      <w:sz w:val="19"/>
                      <w:szCs w:val="19"/>
                    </w:rPr>
                    <w:t>учреждения смогут учесть изменениям при подготовке отчетности.</w:t>
                  </w:r>
                </w:p>
                <w:p w:rsidR="003512F3" w:rsidRDefault="003512F3" w:rsidP="00C1779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85A30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пояснительную записку (ф. 0503760) дополнили новыми таблицами;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в строках 520 (620) отчета об исполнении учреждением плана ФХД (ф. 0503737), помимо прочего, нужно указывать новые данные;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240" w:lineRule="auto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в строках 4610 и 4620 отчета о движении денежных средств (ф. 0503723) следует отражать иные поступления и выбытия денежных средств, не отраженные в поступлениях и выбытиях.</w:t>
                  </w:r>
                </w:p>
                <w:p w:rsidR="0042380F" w:rsidRPr="0042380F" w:rsidRDefault="0042380F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6E3941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30.6pt;margin-top:594.35pt;width:124.85pt;height:132.9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423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Минфина России от 13.10.2023 N 164н</w:t>
                    </w:r>
                  </w:hyperlink>
                </w:p>
                <w:p w:rsidR="00432C71" w:rsidRPr="003512F3" w:rsidRDefault="00432C71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0F3D1A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0F3D1A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63.1pt;margin-top:42.55pt;width:412.85pt;height:27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ВЕРХОВНЫЙ СУД РФ ОБОБЩИЛ СУДЕБНУЮ ПРАКТИКУ ПО КОРПОРАТИВНЫМ СПОРАМ О ПРЕДОСТАВЛЕНИИ ИНФОРМАЦИИ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0F3D1A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53F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90B8E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0F3D1A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0F3D1A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75.95pt;width:406.75pt;height:205.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B3E5D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С целью формирования единообразных правовых позиций при рассмотрении дел данной категории были рассмотрены в числе прочего вопросы об определении круга лиц, имеющих право на получение информации о деятельности хозяйственных обществ, вопросы об объеме и форме предоставляемой информации, иные вопросы.</w:t>
                  </w:r>
                </w:p>
                <w:p w:rsidR="00BB153F" w:rsidRDefault="00BB153F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1A4B0A" w:rsidRDefault="00330E73" w:rsidP="00330E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в подобных ситуациях смогут ссылаться на позицию </w:t>
                  </w:r>
                  <w:proofErr w:type="gram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РФ.</w:t>
                  </w:r>
                </w:p>
                <w:p w:rsidR="00330E73" w:rsidRPr="00B6490A" w:rsidRDefault="00330E73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381496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круг лиц, имеющих право получить информацию о деятельности компании;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критерии добросовестности при запросе информации;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объем и форму предоставления информации;</w:t>
                  </w:r>
                </w:p>
                <w:p w:rsidR="006E3941" w:rsidRPr="00EB0E4D" w:rsidRDefault="006E3941" w:rsidP="006E3941">
                  <w:pPr>
                    <w:pStyle w:val="ad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spacing w:before="0" w:beforeAutospacing="0" w:after="0" w:afterAutospacing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правила определения размера неустойки за </w:t>
                  </w:r>
                  <w:proofErr w:type="spell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непредоставление</w:t>
                  </w:r>
                  <w:proofErr w:type="spell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информации.</w:t>
                  </w:r>
                </w:p>
                <w:p w:rsidR="006E3941" w:rsidRPr="006E3941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A4B0A" w:rsidRPr="006B2B12" w:rsidRDefault="001A4B0A" w:rsidP="006E394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0F3D1A" w:rsidP="00324743">
      <w:pPr>
        <w:rPr>
          <w:rFonts w:ascii="Century Gothic" w:hAnsi="Century Gothic" w:cs="Century Gothic"/>
          <w:sz w:val="28"/>
          <w:szCs w:val="28"/>
        </w:rPr>
      </w:pPr>
      <w:r w:rsidRPr="000F3D1A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8.5pt;margin-top:113.9pt;width:121.05pt;height:171.8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Обобщен</w:t>
                    </w:r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 судебной практики по корпоративным спорам о предоставлении информации хозяйственными обществами (утв. Президиумом Верховного Суда РФ 15.11.2023)</w:t>
                    </w:r>
                  </w:hyperlink>
                </w:p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/>
                  </w:r>
                  <w:r w:rsidRPr="00EB0E4D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HYPERLINK "https://login.consultant.ru/link/?req=doc&amp;base=LAW&amp;n=462027" </w:instrText>
                  </w:r>
                  <w:r w:rsidRPr="00EB0E4D">
                    <w:rPr>
                      <w:rFonts w:ascii="Century Gothic" w:hAnsi="Century Gothic"/>
                      <w:sz w:val="16"/>
                      <w:szCs w:val="16"/>
                    </w:rPr>
                  </w:r>
                  <w:r w:rsidRPr="00EB0E4D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Обзор: «Предоставление корпорати</w:t>
                  </w:r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в</w:t>
                  </w:r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ной и</w:t>
                  </w:r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н</w:t>
                  </w:r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 xml:space="preserve">формации: обзор </w:t>
                  </w:r>
                  <w:proofErr w:type="gramStart"/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ВС</w:t>
                  </w:r>
                  <w:proofErr w:type="gramEnd"/>
                  <w:r w:rsidRPr="00EB0E4D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 xml:space="preserve"> РФ»</w:t>
                  </w: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</w:p>
                <w:p w:rsidR="00B766EB" w:rsidRPr="004366EC" w:rsidRDefault="00B766EB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6E3941" w:rsidP="00324743">
      <w:pPr>
        <w:rPr>
          <w:rFonts w:ascii="Century Gothic" w:hAnsi="Century Gothic" w:cs="Century Gothic"/>
          <w:sz w:val="28"/>
          <w:szCs w:val="28"/>
        </w:rPr>
      </w:pPr>
      <w:r w:rsidRPr="000F3D1A">
        <w:rPr>
          <w:noProof/>
        </w:rPr>
        <w:pict>
          <v:shape id="_x0000_s1484" type="#_x0000_t32" style="position:absolute;margin-left:-1.6pt;margin-top:24.25pt;width:548.2pt;height:.05pt;z-index:251975680" o:connectortype="straight"/>
        </w:pict>
      </w:r>
    </w:p>
    <w:p w:rsidR="00324743" w:rsidRPr="00324743" w:rsidRDefault="00ED082F" w:rsidP="00324743">
      <w:pPr>
        <w:rPr>
          <w:rFonts w:ascii="Century Gothic" w:hAnsi="Century Gothic" w:cs="Century Gothic"/>
          <w:sz w:val="28"/>
          <w:szCs w:val="28"/>
        </w:rPr>
      </w:pPr>
      <w:r w:rsidRPr="000F3D1A">
        <w:rPr>
          <w:noProof/>
        </w:rPr>
        <w:pict>
          <v:shape id="_x0000_s1407" type="#_x0000_t202" style="position:absolute;margin-left:171.25pt;margin-top:325.95pt;width:402.65pt;height:183.9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Следующий год несет ряд изменений в законодательстве о контрактной системе, которые могут существенно повлиять на работу специалиста по </w:t>
                  </w:r>
                  <w:proofErr w:type="spell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госзакупкам</w:t>
                  </w:r>
                  <w:proofErr w:type="spell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. Часть новшеств уже известна. Эксперты </w:t>
                  </w:r>
                  <w:proofErr w:type="spell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подготовили обзор поправок.</w:t>
                  </w:r>
                </w:p>
                <w:p w:rsidR="00F365FE" w:rsidRDefault="00F365FE" w:rsidP="00F365F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подготовиться к новым правилам.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5F70" w:rsidRDefault="00ED7F50" w:rsidP="00E964A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</w:t>
                  </w:r>
                  <w:proofErr w:type="gramStart"/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  <w:r w:rsidR="00EA5F70" w:rsidRPr="00C3388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6E3941" w:rsidRPr="00EB0E4D" w:rsidRDefault="006E3941" w:rsidP="00ED082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в извещение будут включать больше информации;</w:t>
                  </w:r>
                </w:p>
                <w:p w:rsidR="006E3941" w:rsidRPr="00EB0E4D" w:rsidRDefault="006E3941" w:rsidP="00ED082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расширят перечень импортных промтоваров с ограничениями допуска;</w:t>
                  </w:r>
                </w:p>
                <w:p w:rsidR="006E3941" w:rsidRPr="00EB0E4D" w:rsidRDefault="006E3941" w:rsidP="00ED082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цифровой контракт по итогам конкурентных закупок станет обязательным;</w:t>
                  </w:r>
                </w:p>
                <w:p w:rsidR="006E3941" w:rsidRPr="00EB0E4D" w:rsidRDefault="006E3941" w:rsidP="00ED082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у регионов появится новое основание для медицинских закупок у единственного поставщика.</w:t>
                  </w:r>
                </w:p>
                <w:p w:rsidR="00FE0CF5" w:rsidRPr="006B3266" w:rsidRDefault="00FE0CF5" w:rsidP="006E394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6E3941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7" type="#_x0000_t202" style="position:absolute;margin-left:167.15pt;margin-top:305.65pt;width:406.75pt;height:14.5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ЧТО ЖДЕТ В 2024 Г. СПЕЦИАЛИСТА ПО ГОСЗАКУПКАМ</w:t>
                  </w:r>
                </w:p>
                <w:p w:rsidR="006E3941" w:rsidRPr="006B2B12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6B3266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6E3941" w:rsidRPr="008C248D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BA00D3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2687" w:rsidRDefault="006E3941" w:rsidP="006E3941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6E3941" w:rsidRPr="000F3D1A">
        <w:rPr>
          <w:noProof/>
        </w:rPr>
        <w:pict>
          <v:shape id="_x0000_s1432" type="#_x0000_t202" style="position:absolute;margin-left:18.2pt;margin-top:305.65pt;width:136.75pt;height:118.45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C3622A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 w:rsidR="00BB153F"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по Закон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у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№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  <w:r w:rsidR="007F7343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-ФЗ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 xml:space="preserve"> и Закону № 223-ФЗ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DC486F" w:rsidRDefault="00324743" w:rsidP="00324743">
      <w:pPr>
        <w:rPr>
          <w:rFonts w:ascii="Century Gothic" w:hAnsi="Century Gothic" w:cs="Century Gothic"/>
          <w:b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6E3941" w:rsidP="002D547F">
      <w:pPr>
        <w:rPr>
          <w:rFonts w:ascii="Century Gothic" w:hAnsi="Century Gothic" w:cs="Century Gothic"/>
          <w:sz w:val="16"/>
          <w:szCs w:val="16"/>
        </w:rPr>
      </w:pPr>
      <w:r w:rsidRPr="000F3D1A">
        <w:rPr>
          <w:noProof/>
        </w:rPr>
        <w:pict>
          <v:rect id="_x0000_s1465" style="position:absolute;margin-left:23.35pt;margin-top:6in;width:126.2pt;height:61.5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Default="00E76E2F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52343" w:rsidRDefault="00B52343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«Основные изменения в </w:t>
                    </w:r>
                    <w:proofErr w:type="spellStart"/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госзакупках</w:t>
                    </w:r>
                    <w:proofErr w:type="spellEnd"/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в 2024 году»</w:t>
                    </w:r>
                  </w:hyperlink>
                </w:p>
                <w:p w:rsidR="00CE2344" w:rsidRDefault="00CE2344" w:rsidP="006E3941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ED082F" w:rsidP="002D547F">
      <w:pPr>
        <w:rPr>
          <w:rFonts w:ascii="Century Gothic" w:hAnsi="Century Gothic" w:cs="Century Gothic"/>
          <w:sz w:val="16"/>
          <w:szCs w:val="16"/>
        </w:rPr>
      </w:pPr>
      <w:r w:rsidRPr="000F3D1A">
        <w:rPr>
          <w:noProof/>
          <w:sz w:val="16"/>
          <w:szCs w:val="16"/>
        </w:rPr>
        <w:pict>
          <v:shape id="_x0000_s1480" type="#_x0000_t202" style="position:absolute;margin-left:175.3pt;margin-top:520.3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EB0E4D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РАСШИРЕН СПИСОК ТОВАРОВ ЛЕГКОЙ ПРОМЫШЛЕННОСТИ ДЛЯ МАРКИРОВКИ</w:t>
                  </w:r>
                </w:p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89" type="#_x0000_t202" style="position:absolute;margin-left:18.2pt;margin-top:520.35pt;width:136.75pt;height:53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6E3941" w:rsidRPr="00C3622A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6E3941" w:rsidRPr="00A56B9E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E3941" w:rsidRPr="00C066C7" w:rsidRDefault="006E3941" w:rsidP="006E3941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E3941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6" type="#_x0000_t32" style="position:absolute;margin-left:-1.6pt;margin-top:4.4pt;width:548.2pt;height:.05pt;z-index:251976704" o:connectortype="straight"/>
        </w:pict>
      </w:r>
    </w:p>
    <w:p w:rsidR="002D547F" w:rsidRPr="002D547F" w:rsidRDefault="00ED082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pict>
          <v:shape id="_x0000_s1488" type="#_x0000_t202" style="position:absolute;margin-left:171.25pt;margin-top:536.2pt;width:410.8pt;height:280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6E3941" w:rsidRDefault="006E3941" w:rsidP="006E394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С 15 ноября 2023 г. и до конца марта 2024 г. участники оборота </w:t>
                  </w:r>
                  <w:r w:rsidRPr="00EB0E4D">
                    <w:rPr>
                      <w:rFonts w:ascii="Century Gothic" w:hAnsi="Century Gothic"/>
                      <w:iCs/>
                      <w:sz w:val="19"/>
                      <w:szCs w:val="19"/>
                    </w:rPr>
                    <w:t>вправе</w:t>
                  </w: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маркировать ряд товаров </w:t>
                  </w:r>
                  <w:proofErr w:type="spell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легпрома</w:t>
                  </w:r>
                  <w:proofErr w:type="spell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, на которые ранее не наносили средства идентификации. Сведения о добровольной маркировке направляют в систему «Честный знак». </w:t>
                  </w:r>
                  <w:r w:rsidRPr="00EB0E4D">
                    <w:rPr>
                      <w:rFonts w:ascii="Century Gothic" w:hAnsi="Century Gothic"/>
                      <w:iCs/>
                      <w:sz w:val="19"/>
                      <w:szCs w:val="19"/>
                    </w:rPr>
                    <w:t>Обязанность</w:t>
                  </w: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наносить средства идентификации на эти изделия (их потребительскую упаковку, ярлык или этикетку) возникнет с 1 апреля 2024 г.</w:t>
                  </w:r>
                </w:p>
                <w:p w:rsidR="006E3941" w:rsidRPr="00AA36B4" w:rsidRDefault="006E3941" w:rsidP="006E394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Default="006E3941" w:rsidP="006E394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</w:t>
                  </w:r>
                  <w:proofErr w:type="gramStart"/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  <w:r w:rsidRPr="00C3388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6E3941" w:rsidRPr="00EB0E4D" w:rsidRDefault="006E3941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Среди изделий легкой промышленности, которые пока можно маркировать добровольно, такие: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производственные и профессиональные комплекты, костюмы, куртки (пиджаки или жакеты) и блейзеры. Речь идет о спецодежде;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трикотажные или вязаные рубашки для мужчин или мальчиков;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джемперы, пуловеры, кардиганы, жилеты и аналогичные трикотажные либо вязаные изделия;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трикотажные или вязаные пальто, куртки, плащи, ветровки, спортивные и лыжные костюмы;</w:t>
                  </w:r>
                </w:p>
                <w:p w:rsidR="006E3941" w:rsidRPr="00EB0E4D" w:rsidRDefault="006E3941" w:rsidP="006E3941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платья и юбки из текстильных материалов, </w:t>
                  </w:r>
                  <w:proofErr w:type="gramStart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кроме</w:t>
                  </w:r>
                  <w:proofErr w:type="gramEnd"/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 xml:space="preserve"> трикотажных либо вязаных.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6E3941" w:rsidRDefault="006E3941" w:rsidP="006E394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94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EB0E4D">
                    <w:rPr>
                      <w:rFonts w:ascii="Century Gothic" w:hAnsi="Century Gothic"/>
                      <w:sz w:val="19"/>
                      <w:szCs w:val="19"/>
                    </w:rPr>
                    <w:t>за продажу товаров без маркировки (если она обязательна) по общему правилу должностных лиц штрафуют на сумму от 5 тыс. до 10 тыс. руб., а компании – от 50 тыс. до 300 тыс. руб. Изделия при этом конфискуют.</w:t>
                  </w:r>
                </w:p>
                <w:p w:rsidR="006E3941" w:rsidRPr="006B3266" w:rsidRDefault="006E3941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6E3941">
      <w:pPr>
        <w:jc w:val="center"/>
        <w:rPr>
          <w:rFonts w:ascii="Century Gothic" w:hAnsi="Century Gothic" w:cs="Century Gothic"/>
          <w:sz w:val="16"/>
          <w:szCs w:val="16"/>
        </w:rPr>
      </w:pPr>
    </w:p>
    <w:p w:rsidR="00783CDD" w:rsidRDefault="00ED082F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noProof/>
          <w:lang w:eastAsia="ru-RU"/>
        </w:rPr>
        <w:pict>
          <v:rect id="_x0000_s1490" style="position:absolute;margin-left:23.35pt;margin-top:579.95pt;width:126.2pt;height:131.55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0" inset="0,0,0,0">
              <w:txbxContent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Постановление Правительства РФ от </w:t>
                    </w:r>
                    <w:bookmarkStart w:id="1" w:name="_Hlk151563055"/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13.11.2023 N 1899</w:t>
                    </w:r>
                    <w:bookmarkEnd w:id="1"/>
                  </w:hyperlink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проводится о</w:t>
                    </w:r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б</w:t>
                    </w:r>
                    <w:r w:rsidRPr="00EB0E4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язательная маркировка товаров</w:t>
                    </w:r>
                  </w:hyperlink>
                </w:p>
                <w:p w:rsidR="006E3941" w:rsidRDefault="006E3941" w:rsidP="006E3941">
                  <w:pPr>
                    <w:shd w:val="clear" w:color="auto" w:fill="FFFFFF" w:themeFill="background1"/>
                  </w:pPr>
                </w:p>
                <w:p w:rsidR="006E3941" w:rsidRDefault="006E3941" w:rsidP="006E39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</w:p>
    <w:p w:rsidR="007E2FE2" w:rsidRDefault="007E2FE2" w:rsidP="00A603C5">
      <w:pPr>
        <w:pStyle w:val="1"/>
        <w:tabs>
          <w:tab w:val="left" w:pos="284"/>
        </w:tabs>
        <w:jc w:val="center"/>
      </w:pPr>
    </w:p>
    <w:p w:rsidR="007E2FE2" w:rsidRPr="007E2FE2" w:rsidRDefault="007E2FE2" w:rsidP="00A93B41">
      <w:pPr>
        <w:ind w:firstLine="708"/>
        <w:rPr>
          <w:lang w:eastAsia="ru-RU"/>
        </w:rPr>
      </w:pPr>
    </w:p>
    <w:p w:rsidR="007E2FE2" w:rsidRPr="007E2FE2" w:rsidRDefault="007E2FE2" w:rsidP="007E2FE2">
      <w:pPr>
        <w:rPr>
          <w:lang w:eastAsia="ru-RU"/>
        </w:rPr>
      </w:pPr>
    </w:p>
    <w:p w:rsidR="00D5798E" w:rsidRPr="007E2FE2" w:rsidRDefault="003512F3" w:rsidP="003512F3">
      <w:pPr>
        <w:rPr>
          <w:lang w:eastAsia="ru-RU"/>
        </w:rPr>
      </w:pPr>
      <w:r>
        <w:rPr>
          <w:lang w:eastAsia="ru-RU"/>
        </w:rPr>
        <w:tab/>
      </w:r>
    </w:p>
    <w:sectPr w:rsidR="00D5798E" w:rsidRPr="007E2FE2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AF" w:rsidRDefault="00C70FAF" w:rsidP="00735E66">
      <w:pPr>
        <w:spacing w:after="0" w:line="240" w:lineRule="auto"/>
      </w:pPr>
      <w:r>
        <w:separator/>
      </w:r>
    </w:p>
  </w:endnote>
  <w:endnote w:type="continuationSeparator" w:id="0">
    <w:p w:rsidR="00C70FAF" w:rsidRDefault="00C70F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AF" w:rsidRDefault="00C70FAF" w:rsidP="00735E66">
      <w:pPr>
        <w:spacing w:after="0" w:line="240" w:lineRule="auto"/>
      </w:pPr>
      <w:r>
        <w:separator/>
      </w:r>
    </w:p>
  </w:footnote>
  <w:footnote w:type="continuationSeparator" w:id="0">
    <w:p w:rsidR="00C70FAF" w:rsidRDefault="00C70F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7C"/>
    <w:multiLevelType w:val="hybridMultilevel"/>
    <w:tmpl w:val="41D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7180"/>
    <w:multiLevelType w:val="hybridMultilevel"/>
    <w:tmpl w:val="F1280E9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7A2E26"/>
    <w:multiLevelType w:val="hybridMultilevel"/>
    <w:tmpl w:val="5862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33CC"/>
    <w:multiLevelType w:val="hybridMultilevel"/>
    <w:tmpl w:val="D00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43ED6"/>
    <w:multiLevelType w:val="hybridMultilevel"/>
    <w:tmpl w:val="F68E4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E97AFD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D5147"/>
    <w:multiLevelType w:val="hybridMultilevel"/>
    <w:tmpl w:val="AD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27121"/>
    <w:multiLevelType w:val="hybridMultilevel"/>
    <w:tmpl w:val="B79C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56F16"/>
    <w:multiLevelType w:val="hybridMultilevel"/>
    <w:tmpl w:val="B6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D3861"/>
    <w:multiLevelType w:val="hybridMultilevel"/>
    <w:tmpl w:val="48A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F0A5F"/>
    <w:rsid w:val="000F1B2A"/>
    <w:rsid w:val="000F23F9"/>
    <w:rsid w:val="000F2CB8"/>
    <w:rsid w:val="000F3D1A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380F"/>
    <w:rsid w:val="004277FD"/>
    <w:rsid w:val="00427CEE"/>
    <w:rsid w:val="0043039B"/>
    <w:rsid w:val="00432C71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85635"/>
    <w:rsid w:val="00585716"/>
    <w:rsid w:val="00585CD4"/>
    <w:rsid w:val="00595739"/>
    <w:rsid w:val="005A141B"/>
    <w:rsid w:val="005A1A5E"/>
    <w:rsid w:val="005B19DF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A2B4E"/>
    <w:rsid w:val="006A53A3"/>
    <w:rsid w:val="006A57D6"/>
    <w:rsid w:val="006A7CE5"/>
    <w:rsid w:val="006B0AEB"/>
    <w:rsid w:val="006B5595"/>
    <w:rsid w:val="006C57FB"/>
    <w:rsid w:val="006C5BE7"/>
    <w:rsid w:val="006D2CB3"/>
    <w:rsid w:val="006D35F9"/>
    <w:rsid w:val="006D4538"/>
    <w:rsid w:val="006D5360"/>
    <w:rsid w:val="006D5A77"/>
    <w:rsid w:val="006E12A7"/>
    <w:rsid w:val="006E3941"/>
    <w:rsid w:val="006F0641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290D"/>
    <w:rsid w:val="007569C7"/>
    <w:rsid w:val="00756FC6"/>
    <w:rsid w:val="00761548"/>
    <w:rsid w:val="00762CE1"/>
    <w:rsid w:val="0076734B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51CC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0B86"/>
    <w:rsid w:val="009F6D7C"/>
    <w:rsid w:val="009F7A71"/>
    <w:rsid w:val="00A00E23"/>
    <w:rsid w:val="00A030BC"/>
    <w:rsid w:val="00A146D4"/>
    <w:rsid w:val="00A168AC"/>
    <w:rsid w:val="00A17171"/>
    <w:rsid w:val="00A20788"/>
    <w:rsid w:val="00A228D9"/>
    <w:rsid w:val="00A24F4D"/>
    <w:rsid w:val="00A33CF8"/>
    <w:rsid w:val="00A344EC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93B41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72A"/>
    <w:rsid w:val="00AE0F60"/>
    <w:rsid w:val="00AE142A"/>
    <w:rsid w:val="00AE3B20"/>
    <w:rsid w:val="00AE4789"/>
    <w:rsid w:val="00AF3504"/>
    <w:rsid w:val="00AF5698"/>
    <w:rsid w:val="00B00F29"/>
    <w:rsid w:val="00B070F2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30F1"/>
    <w:rsid w:val="00B35744"/>
    <w:rsid w:val="00B358E2"/>
    <w:rsid w:val="00B37972"/>
    <w:rsid w:val="00B41CE8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0FA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162BE"/>
    <w:rsid w:val="00E2021E"/>
    <w:rsid w:val="00E206AC"/>
    <w:rsid w:val="00E27F50"/>
    <w:rsid w:val="00E30AC4"/>
    <w:rsid w:val="00E323E4"/>
    <w:rsid w:val="00E347CC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5F70"/>
    <w:rsid w:val="00EA6F15"/>
    <w:rsid w:val="00EA75AE"/>
    <w:rsid w:val="00EB1C10"/>
    <w:rsid w:val="00EB2687"/>
    <w:rsid w:val="00EC0920"/>
    <w:rsid w:val="00EC1530"/>
    <w:rsid w:val="00EC1A0A"/>
    <w:rsid w:val="00EC73FF"/>
    <w:rsid w:val="00ED03AA"/>
    <w:rsid w:val="00ED082F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643A"/>
    <w:rsid w:val="00FA0479"/>
    <w:rsid w:val="00FA0BE5"/>
    <w:rsid w:val="00FA3502"/>
    <w:rsid w:val="00FA7FEB"/>
    <w:rsid w:val="00FB1228"/>
    <w:rsid w:val="00FB16D1"/>
    <w:rsid w:val="00FB2F13"/>
    <w:rsid w:val="00FB52EC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  <o:rules v:ext="edit">
        <o:r id="V:Rule4" type="connector" idref="#_x0000_s1484"/>
        <o:r id="V:Rule5" type="connector" idref="#_x0000_s1442"/>
        <o:r id="V:Rule6" type="connector" idref="#_x0000_s1467"/>
        <o:r id="V:Rule7" type="connector" idref="#_x0000_s14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0356" TargetMode="External"/><Relationship Id="rId13" Type="http://schemas.openxmlformats.org/officeDocument/2006/relationships/hyperlink" Target="https://login.consultant.ru/link/?req=doc&amp;base=PBI&amp;n=304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324" TargetMode="External"/><Relationship Id="rId12" Type="http://schemas.openxmlformats.org/officeDocument/2006/relationships/hyperlink" Target="https://login.consultant.ru/link/?req=doc&amp;base=LAW&amp;n=4619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21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5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2023-11-26T16:19:00Z</dcterms:created>
  <dcterms:modified xsi:type="dcterms:W3CDTF">2023-11-26T16:19:00Z</dcterms:modified>
</cp:coreProperties>
</file>