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C129B4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4.85pt;width:410.8pt;height:177.2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перечни кодов включены новые позиции. Также ФНС уточнила перечень кодов вычетов. Так, скорректировали ряд кодов вычетов на детей (коды 126 – 149), добавили код 253 для накопленного процентного (купонного) дохода. Приказ вступит в силу 20 февраля.</w:t>
                  </w:r>
                </w:p>
                <w:p w:rsidR="00B73CEC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C129B4" w:rsidRPr="000B5D53" w:rsidRDefault="00C129B4" w:rsidP="00C129B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Перечень кодов доходов дополнили: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2017 – для суточных или полевого довольствия за разъездной характер работы, а также для надбавок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вахтовикам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. Код применяют для сумм свыше 700 руб. за каждый день выполнения работы (нахождения в пути) в России и свыше 2 500 руб. – за ее пределами;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2018 – для компенсаций сотрудникам на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удаленке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свыше 35 руб. за каждый день работы дистанционно, если расходы не подтвердили документами.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441662" w:rsidRDefault="00A228D9" w:rsidP="008B5D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3E18E2"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E7FD5" w:rsidRDefault="00AE7FD5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C701F">
                    <w:rPr>
                      <w:b/>
                      <w:color w:val="FFFFFF"/>
                      <w:sz w:val="24"/>
                      <w:szCs w:val="24"/>
                    </w:rPr>
                    <w:t xml:space="preserve"> и бюджетному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3E18E2"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НАЛОГОВАЯ СЛУЖБА УТОЧНИЛА КОДЫ ДОХОДОВ И ВЫЧЕТОВ ПО НДФЛ</w:t>
                  </w: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3E18E2" w:rsidP="00735E66">
      <w:pPr>
        <w:rPr>
          <w:rFonts w:ascii="Century Gothic" w:hAnsi="Century Gothic"/>
          <w:b/>
          <w:i/>
          <w:sz w:val="16"/>
          <w:szCs w:val="16"/>
        </w:rPr>
      </w:pPr>
      <w:r w:rsidRPr="003E18E2">
        <w:rPr>
          <w:i/>
          <w:noProof/>
          <w:lang w:eastAsia="ru-RU"/>
        </w:rPr>
        <w:pict>
          <v:rect id="Rectangle 336" o:spid="_x0000_s1028" style="position:absolute;margin-left:24.1pt;margin-top:125.45pt;width:124.95pt;height:108.2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8B5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ФНС России от 09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01.2024 N ЕД-7-11/3@</w:t>
                    </w:r>
                  </w:hyperlink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9B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C129B4" w:rsidRPr="000B5D53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зап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лнить форму 6-НДФЛ</w:t>
                    </w:r>
                  </w:hyperlink>
                </w:p>
                <w:p w:rsidR="00432C71" w:rsidRDefault="00432C71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C129B4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3E18E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259.8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EE6AE5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C129B4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E18E2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90.45pt;margin-top:259.8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ФНС СКОРРЕКТИРОВАЛА НОВУЮ ФОРМУ 6-НДФЛ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3.75pt;margin-top:8.9pt;width:548.2pt;height:.05pt;z-index:251951104" o:connectortype="straight"/>
        </w:pict>
      </w:r>
    </w:p>
    <w:p w:rsidR="00C42FDD" w:rsidRDefault="00C129B4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3E18E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69.1pt;margin-top:286.6pt;width:408.8pt;height:194.8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Поправки потребовались из-за новых сроков перечисления НДФЛ с 1 января 2024 г. Приказ вступит в силу 9 апреля.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47888" w:rsidRPr="00847888" w:rsidRDefault="00847888" w:rsidP="0084788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478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применению измененной формы.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раздел 1 включили дополнительные строки для пятого и шестого сроков перечисления налога (строки 025 и 026). Сходные строки добавили для возвращенного налога (строки 035 и 036);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раздел 2 внесли строку 156. В ней отражают налог, который исчислили и уплатили в иностранном государстве;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разделе 2 удержанный налог (строка 160) нужно расшифровать по 6 строкам, а не 4 (строки 161 - 166). Так же нужно поступить с налогом, возвращенным налоговым агентом (строки 190 - 196).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Default="007C7C3B" w:rsidP="00C129B4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C129B4" w:rsidP="00735E66">
      <w:r w:rsidRPr="003E18E2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24pt;width:126.15pt;height:119.4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C129B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C129B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Приказ ФНС России 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 09.01.2024 N ЕД-7-11/1@</w:t>
                    </w:r>
                  </w:hyperlink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129B4" w:rsidRP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9B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C129B4" w:rsidRPr="000B5D53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C129B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заполнить форму 6-НДФЛ</w:t>
                    </w:r>
                  </w:hyperlink>
                </w:p>
                <w:p w:rsidR="00D6456E" w:rsidRPr="00595739" w:rsidRDefault="00D6456E" w:rsidP="00C129B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C129B4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2.05pt;margin-top:20.25pt;width:548.2pt;height:.05pt;z-index:251962368" o:connectortype="straight"/>
        </w:pict>
      </w:r>
    </w:p>
    <w:p w:rsidR="002C1105" w:rsidRPr="00B60E88" w:rsidRDefault="00C129B4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8" type="#_x0000_t202" style="position:absolute;left:0;text-align:left;margin-left:16.25pt;margin-top:498.8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485423" w:rsidRDefault="007F4FDE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3.65pt;margin-top:498.8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СПРАВКИ О ДОХОДАХ ГОССЛУЖАЩИХ ЗА 2023 Г.: МИНТРУД РАССКАЗАЛ О НЮАНСАХ ПОДАЧИ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04C7D" w:rsidRDefault="00C129B4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31.55pt;width:405.25pt;height:284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Ведомство подготовило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методрекомендации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по заполнению справок за прошлый год в декларационной кампании 2024 г. Большая часть рекомендаций не отличается </w:t>
                  </w: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от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прошлогодних. При этом Минтруд выделил основные изменения.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рекомендации помогут госслужащим </w:t>
                  </w: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отчитаться о доходах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, расходах, имуществе.</w:t>
                  </w: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нужно обращать особое внимание на корректность отчетных дат, дат печати и представления справок. Так, нельзя, чтобы дата печати листа справки была раньше отчетной на титульном листе или позднее даты </w:t>
                  </w: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заверения достоверности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и полноты на последнем листе справки;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если супруг или супруга чиновника замещает должность военной службы, то на титульном листе достаточно указать «Военнослужащий»;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сумму сделки в разделе 2 нужно указывать в рублях. Если сделка была в иностранной валюте, то ее сумму нужно перевести в рубли на дату совершения сделки;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раздел 4 надо вносить номера именно счетов, а не карт. Карта может быть не привязана к счету, например при открытии «Пушкинской карты»;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скорректировали порядок заполнения графы «Сумма поступивших на счет денежных средств (руб.)» раздела 4;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пояснили, как действовать служащему, если он не может подать сведения о доходах по независящим от него обстоятельствам.</w:t>
                  </w:r>
                </w:p>
                <w:p w:rsidR="00847888" w:rsidRDefault="00847888" w:rsidP="00C129B4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C129B4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2.9pt;margin-top:556.25pt;width:126.15pt;height:166.8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29B4" w:rsidRDefault="00C129B4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2C71" w:rsidRDefault="00C129B4" w:rsidP="002C701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hyperlink r:id="rId11" w:history="1"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 Минтруда России от 12.02.2024 N 28-7/10/В-2237</w:t>
                    </w:r>
                  </w:hyperlink>
                  <w:r w:rsidRPr="000B5D53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2" w:history="1"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Методическ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 рек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E376E4" w:rsidRDefault="00E376E4" w:rsidP="00D24391">
      <w:pPr>
        <w:ind w:left="-142"/>
      </w:pP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3E18E2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3E18E2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860AD9" w:rsidRDefault="00860AD9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860AD9" w:rsidRDefault="00860AD9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E18E2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ТРУДОВЫЕ ГАРАНТИИ ДЛЯ ОДИНОКИХ РОДИТЕЛЕЙ РАСШИРЯТСЯ С 25 ФЕВРАЛЯ 2024 Г.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129B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3E18E2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90.5pt;width:121.05pt;height:102.9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129B4" w:rsidRPr="000B5D53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й закон от 14.02.2024 N 12-ФЗ</w:t>
                    </w:r>
                  </w:hyperlink>
                </w:p>
                <w:p w:rsidR="002C701F" w:rsidRPr="000E5FED" w:rsidRDefault="002C701F" w:rsidP="00C129B4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3E18E2" w:rsidRPr="003E18E2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7.9pt;width:410.8pt;height:171.6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Увеличен возрастной порог для расторжения трудового договора по инициативе работодателя с сотрудником, в одиночку воспитывающим ребенка. Соответствующие поправки внесены в статью 261 ТК РФ.</w:t>
                  </w: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об изменении обязанностей в отношении одиноких родителей.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работодатели не смогут увольнять по своей инициативе сотрудников, которые в одиночку воспитывают детей в возрасте до 16 лет. Сейчас эта гарантия действует, пока ребенку не исполнится 14 лет;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ряде случаев увольнение таких сотрудников по инициативе работодателя допускают, например, при ликвидации организации или однократном грубом нарушении обязанностей.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E18E2" w:rsidP="00324743">
      <w:pPr>
        <w:rPr>
          <w:rFonts w:ascii="Century Gothic" w:hAnsi="Century Gothic" w:cs="Century Gothic"/>
          <w:sz w:val="28"/>
          <w:szCs w:val="28"/>
        </w:rPr>
      </w:pPr>
      <w:r w:rsidRPr="003E18E2">
        <w:rPr>
          <w:noProof/>
        </w:rPr>
        <w:pict>
          <v:shape id="_x0000_s1434" type="#_x0000_t202" style="position:absolute;margin-left:177.4pt;margin-top:265.2pt;width:394.45pt;height:28pt;z-index:25194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4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ПОЛУЧИТЬ КВАЛИФИЦИРОВАННУЮ ЭЛЕКТРОННУЮ ПОДПИСЬ ТЕПЕРЬ МОЖНО УДАЛЕННО С ПОМОЩЬЮ БИОМЕТРИИ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45BA2" w:rsidRPr="00B73CEC" w:rsidRDefault="00745BA2" w:rsidP="00B73CE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3E18E2">
        <w:rPr>
          <w:noProof/>
          <w:sz w:val="16"/>
          <w:szCs w:val="16"/>
        </w:rPr>
        <w:pict>
          <v:shape id="_x0000_s1408" type="#_x0000_t202" style="position:absolute;margin-left:23.35pt;margin-top:265.2pt;width:136.75pt;height:52.75pt;z-index:25192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08" inset=",0,,0">
              <w:txbxContent>
                <w:p w:rsidR="00265CAB" w:rsidRDefault="00860AD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Юристу</w:t>
                  </w:r>
                  <w:r w:rsidR="00C129B4">
                    <w:rPr>
                      <w:b/>
                      <w:color w:val="FFFFFF"/>
                      <w:sz w:val="24"/>
                      <w:szCs w:val="24"/>
                    </w:rPr>
                    <w:t>, Руководителю</w:t>
                  </w:r>
                </w:p>
                <w:p w:rsidR="00432C71" w:rsidRDefault="00432C71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37091" w:rsidRPr="00C066C7" w:rsidRDefault="00737091" w:rsidP="0073709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E18E2">
        <w:rPr>
          <w:rFonts w:ascii="Century Gothic" w:hAnsi="Century Gothic" w:cs="Century Gothic"/>
          <w:noProof/>
          <w:lang w:eastAsia="ru-RU"/>
        </w:rPr>
        <w:pict>
          <v:shape id="_x0000_s1400" type="#_x0000_t32" style="position:absolute;margin-left:2.5pt;margin-top:8.3pt;width:548.2pt;height:.05pt;z-index:251925504" o:connectortype="straight"/>
        </w:pict>
      </w:r>
    </w:p>
    <w:p w:rsidR="00324743" w:rsidRPr="00324743" w:rsidRDefault="003E18E2" w:rsidP="00324743">
      <w:pPr>
        <w:rPr>
          <w:rFonts w:ascii="Century Gothic" w:hAnsi="Century Gothic" w:cs="Century Gothic"/>
          <w:sz w:val="28"/>
          <w:szCs w:val="28"/>
        </w:rPr>
      </w:pPr>
      <w:r w:rsidRPr="003E18E2">
        <w:rPr>
          <w:noProof/>
        </w:rPr>
        <w:pict>
          <v:shape id="_x0000_s1435" type="#_x0000_t202" style="position:absolute;margin-left:177.4pt;margin-top:298.7pt;width:398.55pt;height:226.5pt;z-index:25194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5" inset="0,0,,0">
              <w:txbxContent>
                <w:p w:rsidR="00745BA2" w:rsidRDefault="00745BA2" w:rsidP="00745BA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и ИП могут оформить </w:t>
                  </w: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квалифицированную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ЭП по биометрии без личной явки в удостоверяющий центр ведомства. Обратиться за подписью для компании вправе ее единоличный исполнительный орган. Это первый шаг к запуску сервиса «Старт бизнеса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онлайн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». Эксперимент по его применению проведут с 1 марта 2024 г.</w:t>
                  </w:r>
                </w:p>
                <w:p w:rsidR="00C129B4" w:rsidRPr="00C129B4" w:rsidRDefault="00C129B4" w:rsidP="00C129B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129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новый сервис сократит время на оформление квалифицированной электронной подписи.</w:t>
                  </w:r>
                </w:p>
                <w:p w:rsidR="00AE4789" w:rsidRDefault="00AE4789" w:rsidP="00AE478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4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C129B4" w:rsidRPr="000B5D53" w:rsidRDefault="00C129B4" w:rsidP="00C129B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Чтобы через личный кабинет на сайте ФНС получить </w:t>
                  </w: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квалифицированную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ЭП по биометрии, нужны: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подтвержденные</w:t>
                  </w:r>
                  <w:proofErr w:type="gram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учетная запись на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Госуслугах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 и регистрация в Единой биометрической системе;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компьютер или ноутбук с камерой и микрофоном, а также установленными средствами ЭП;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носитель (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токен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) для записи цифровых ключей, который сертифицировала ФСБ либо ФСТЭК.</w:t>
                  </w:r>
                </w:p>
                <w:p w:rsidR="00B73CEC" w:rsidRPr="00B73CEC" w:rsidRDefault="00B73CEC" w:rsidP="00C129B4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E18E2" w:rsidP="00324743">
      <w:pPr>
        <w:rPr>
          <w:rFonts w:ascii="Century Gothic" w:hAnsi="Century Gothic" w:cs="Century Gothic"/>
          <w:sz w:val="28"/>
          <w:szCs w:val="28"/>
        </w:rPr>
      </w:pPr>
      <w:r w:rsidRPr="003E18E2">
        <w:rPr>
          <w:noProof/>
        </w:rPr>
        <w:pict>
          <v:rect id="_x0000_s1456" style="position:absolute;margin-left:28.75pt;margin-top:324.35pt;width:126.2pt;height:112.6pt;z-index:-25135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56" inset="0,0,0,0">
              <w:txbxContent>
                <w:p w:rsidR="00B73CEC" w:rsidRDefault="00AE4789" w:rsidP="00EE1AE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29B4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C129B4" w:rsidRPr="000B5D53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ие Правительства РФ от 13.02.2024 N 144</w:t>
                    </w:r>
                  </w:hyperlink>
                </w:p>
                <w:p w:rsidR="00EC73FF" w:rsidRPr="00580566" w:rsidRDefault="00EC73FF" w:rsidP="00C129B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C129B4" w:rsidP="002D547F">
      <w:pPr>
        <w:rPr>
          <w:rFonts w:ascii="Century Gothic" w:hAnsi="Century Gothic" w:cs="Century Gothic"/>
          <w:sz w:val="16"/>
          <w:szCs w:val="16"/>
        </w:rPr>
      </w:pPr>
      <w:r w:rsidRPr="003E18E2">
        <w:rPr>
          <w:noProof/>
        </w:rPr>
        <w:pict>
          <v:shape id="_x0000_s1433" type="#_x0000_t32" style="position:absolute;margin-left:2.5pt;margin-top:19.7pt;width:548.2pt;height:.05pt;z-index:251943936" o:connectortype="straight"/>
        </w:pict>
      </w:r>
    </w:p>
    <w:p w:rsidR="002D547F" w:rsidRPr="002D547F" w:rsidRDefault="00C129B4" w:rsidP="002D547F">
      <w:pPr>
        <w:rPr>
          <w:rFonts w:ascii="Century Gothic" w:hAnsi="Century Gothic" w:cs="Century Gothic"/>
          <w:sz w:val="16"/>
          <w:szCs w:val="16"/>
        </w:rPr>
      </w:pPr>
      <w:r w:rsidRPr="003E18E2">
        <w:rPr>
          <w:noProof/>
        </w:rPr>
        <w:pict>
          <v:shape id="_x0000_s1432" type="#_x0000_t202" style="position:absolute;margin-left:18.2pt;margin-top:545.35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E18E2">
        <w:rPr>
          <w:noProof/>
        </w:rPr>
        <w:pict>
          <v:shape id="_x0000_s1406" type="#_x0000_t202" style="position:absolute;margin-left:201.55pt;margin-top:535.75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C129B4" w:rsidRPr="000B5D53" w:rsidRDefault="00C129B4" w:rsidP="00C129B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B5D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РАССМОТРЕНИЕ ЖАЛОБ ПРИ ГОСЗАКУПКАХ СО СПЕЦИАЛЬНОЙ ПРАВОСПОСОБНОСТЬЮ: ПОЗИЦИЯ ФАС</w:t>
                  </w: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C129B4" w:rsidP="001C23BE">
      <w:pPr>
        <w:spacing w:after="0" w:line="240" w:lineRule="auto"/>
        <w:rPr>
          <w:rFonts w:ascii="Century Gothic" w:hAnsi="Century Gothic" w:cs="Century Gothic"/>
        </w:rPr>
      </w:pPr>
      <w:r w:rsidRPr="003E18E2">
        <w:rPr>
          <w:noProof/>
        </w:rPr>
        <w:pict>
          <v:shape id="_x0000_s1407" type="#_x0000_t202" style="position:absolute;margin-left:181.5pt;margin-top:573.9pt;width:394.45pt;height:258.0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  <w:tab w:val="left" w:pos="17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В целях пресечения случаев злоупотребления правом на обжалование закупок ФАС выпустила разъяснение о применении Закона N 44-ФЗ в части порядка рассмотрения жалоб, поступающих от лиц, не имеющих специальной правоспособности.</w:t>
                  </w:r>
                </w:p>
                <w:p w:rsidR="00C129B4" w:rsidRPr="00C129B4" w:rsidRDefault="00C129B4" w:rsidP="00C129B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129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C129B4" w:rsidRPr="000B5D53" w:rsidRDefault="00C129B4" w:rsidP="00C129B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в каком случае рассмотрят жалобу, если заявитель не обладает специальной правоспособностью.</w:t>
                  </w: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контролеры откажут в рассмотрении жалобы по существу, если в закупке есть требования к специальной правоспособности, но заявитель ей не обладает. Речь идет о ситуации, когда условия закупки обязывают, например, иметь лицензию или состоять в СРО. Интересы лица, у которого нет этой правоспособности, не могут быть нарушены;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 xml:space="preserve">то же касается случаев, когда участник оспаривает положения извещения о закупке с </w:t>
                  </w:r>
                  <w:proofErr w:type="spellStart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доптребованиями</w:t>
                  </w:r>
                  <w:proofErr w:type="spellEnd"/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. Условие для подачи такой жалобы – наличие опыта;</w:t>
                  </w:r>
                </w:p>
                <w:p w:rsidR="00C129B4" w:rsidRPr="000B5D53" w:rsidRDefault="00C129B4" w:rsidP="00C129B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B5D53">
                    <w:rPr>
                      <w:rFonts w:ascii="Century Gothic" w:hAnsi="Century Gothic"/>
                      <w:sz w:val="19"/>
                      <w:szCs w:val="19"/>
                    </w:rPr>
                    <w:t>жалобу все же рассмотрят, если в ней есть доводы о том, что требования к участникам закупки установили незаконно, и контролеры нашли признаки такого нарушения.</w:t>
                  </w:r>
                </w:p>
                <w:p w:rsidR="002C701F" w:rsidRPr="000E5FED" w:rsidRDefault="002C701F" w:rsidP="00C129B4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D5798E" w:rsidRPr="00783CDD" w:rsidRDefault="003E18E2" w:rsidP="00A603C5">
      <w:pPr>
        <w:pStyle w:val="1"/>
        <w:tabs>
          <w:tab w:val="left" w:pos="284"/>
        </w:tabs>
        <w:jc w:val="center"/>
      </w:pPr>
      <w:r w:rsidRPr="003E18E2">
        <w:rPr>
          <w:b w:val="0"/>
          <w:noProof/>
          <w:sz w:val="22"/>
          <w:szCs w:val="22"/>
        </w:rPr>
        <w:pict>
          <v:rect id="_x0000_s1465" style="position:absolute;left:0;text-align:left;margin-left:23.6pt;margin-top:655.1pt;width:131.35pt;height:103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73CEC" w:rsidRDefault="00B73CEC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129B4" w:rsidRPr="000B5D53" w:rsidRDefault="00C129B4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5" w:history="1"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</w:t>
                    </w:r>
                    <w:r w:rsidRPr="000B5D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АС России от 29.12.2023 N МШ/112518/23</w:t>
                    </w:r>
                  </w:hyperlink>
                </w:p>
                <w:p w:rsidR="003F4922" w:rsidRPr="004366EC" w:rsidRDefault="003F4922" w:rsidP="00C129B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5E" w:rsidRDefault="00A43A5E" w:rsidP="00735E66">
      <w:pPr>
        <w:spacing w:after="0" w:line="240" w:lineRule="auto"/>
      </w:pPr>
      <w:r>
        <w:separator/>
      </w:r>
    </w:p>
  </w:endnote>
  <w:endnote w:type="continuationSeparator" w:id="0">
    <w:p w:rsidR="00A43A5E" w:rsidRDefault="00A43A5E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5E" w:rsidRDefault="00A43A5E" w:rsidP="00735E66">
      <w:pPr>
        <w:spacing w:after="0" w:line="240" w:lineRule="auto"/>
      </w:pPr>
      <w:r>
        <w:separator/>
      </w:r>
    </w:p>
  </w:footnote>
  <w:footnote w:type="continuationSeparator" w:id="0">
    <w:p w:rsidR="00A43A5E" w:rsidRDefault="00A43A5E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18E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068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3A5E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129B4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  <o:rules v:ext="edit">
        <o:r id="V:Rule5" type="connector" idref="#_x0000_s1467"/>
        <o:r id="V:Rule6" type="connector" idref="#_x0000_s1400"/>
        <o:r id="V:Rule7" type="connector" idref="#_x0000_s1433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75788" TargetMode="External"/><Relationship Id="rId13" Type="http://schemas.openxmlformats.org/officeDocument/2006/relationships/hyperlink" Target="https://login.consultant.ru/link/?req=doc&amp;base=LAW&amp;n=4696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287" TargetMode="External"/><Relationship Id="rId12" Type="http://schemas.openxmlformats.org/officeDocument/2006/relationships/hyperlink" Target="https://login.consultant.ru/link/?req=doc&amp;base=LAW&amp;n=4696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96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8978" TargetMode="External"/><Relationship Id="rId10" Type="http://schemas.openxmlformats.org/officeDocument/2006/relationships/hyperlink" Target="https://login.consultant.ru/link/?req=doc&amp;base=PBI&amp;n=275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271" TargetMode="External"/><Relationship Id="rId14" Type="http://schemas.openxmlformats.org/officeDocument/2006/relationships/hyperlink" Target="https://login.consultant.ru/link/?req=doc&amp;base=LAW&amp;n=469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2024-02-18T14:26:00Z</dcterms:created>
  <dcterms:modified xsi:type="dcterms:W3CDTF">2024-02-18T14:26:00Z</dcterms:modified>
</cp:coreProperties>
</file>