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1B0DEC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BB1EBA" w:rsidRPr="0071400B" w:rsidRDefault="00BB1EBA" w:rsidP="00BB1EBA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1400B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СУД: ОС ИСПОЛЬЗУЮТ В ОБЛАГАЕМЫХ И НЕ ОБЛАГАЕМЫХ НДС ОПЕРАЦИЯХ – ВЫЧЕТ МОЖНО ЗАЯВИТЬ В ТЕЧЕНИЕ 3 ЛЕТ</w:t>
                  </w:r>
                </w:p>
                <w:p w:rsidR="00756A32" w:rsidRPr="00C87B8E" w:rsidRDefault="00756A32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56A32" w:rsidRDefault="00AE7FD5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756A32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C35D7E" w:rsidRDefault="002C701F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BB1EBA" w:rsidP="005D55D8">
      <w:pPr>
        <w:ind w:left="-142"/>
        <w:rPr>
          <w:i/>
        </w:rPr>
      </w:pPr>
      <w:r>
        <w:rPr>
          <w:noProof/>
          <w:lang w:eastAsia="ru-RU"/>
        </w:rPr>
        <w:pict>
          <v:shape id="Text Box 14" o:spid="_x0000_s1030" type="#_x0000_t202" style="position:absolute;left:0;text-align:left;margin-left:169.1pt;margin-top:77.55pt;width:410.8pt;height:195.2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При камеральной проверке декларации по НДС за I квартал 2022 г. инспекция отказала в вычете налога, уплаченного при покупке машины. Проверяющие сочли, что правило о возможности заявить вычет в течение 3 лет после принятия на учет товаров не действует, если товары используют как в облагаемых, так и </w:t>
                  </w:r>
                  <w:proofErr w:type="gram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 не</w:t>
                  </w:r>
                  <w:proofErr w:type="gram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облагаемых НДС операциях. Его используют в пропорции лишь в периоде, в котором совершили операцию (III квартал 2019 г.). Суды защитили налогоплательщика.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налогоплательщик вправе принять НДС к вычету в той доле, в какой использовал автомобиль в облагаемых операциях в периоде, когда его приняли к учету. Вычет НДС в декларации за более поздний период (но в пределах 3 лет) не противоречит НК РФ. При этом не важно, какими видами деятельности занимается плательщик. Условие о ведении раздельного учета операций он выполнил.</w:t>
                  </w:r>
                </w:p>
                <w:p w:rsidR="00A228D9" w:rsidRPr="00441662" w:rsidRDefault="00A228D9" w:rsidP="00BB1EBA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1B0DEC" w:rsidP="00735E66">
      <w:pPr>
        <w:rPr>
          <w:rFonts w:ascii="Century Gothic" w:hAnsi="Century Gothic"/>
          <w:b/>
          <w:i/>
          <w:sz w:val="16"/>
          <w:szCs w:val="16"/>
        </w:rPr>
      </w:pPr>
      <w:r w:rsidRPr="001B0DEC">
        <w:rPr>
          <w:i/>
          <w:noProof/>
          <w:lang w:eastAsia="ru-RU"/>
        </w:rPr>
        <w:pict>
          <v:rect id="Rectangle 336" o:spid="_x0000_s1028" style="position:absolute;margin-left:24.1pt;margin-top:125.45pt;width:124.95pt;height:141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756A3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F5542D" w:rsidRDefault="00F5542D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новление АС Уральского округа от 06.02.2024 по делу  N А50-6565/2023</w:t>
                    </w:r>
                  </w:hyperlink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Default="00756A32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87B8E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Вычет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НДС при приобретении основных средств</w:t>
                    </w:r>
                  </w:hyperlink>
                </w:p>
                <w:p w:rsidR="004277FD" w:rsidRDefault="004277FD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1B0DEC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1.25pt;margin-top:15.95pt;width:548.2pt;height:.05pt;z-index:251951104" o:connectortype="straight"/>
        </w:pict>
      </w:r>
      <w:r w:rsidR="00F84193">
        <w:tab/>
      </w:r>
      <w:r w:rsidR="00F84193">
        <w:tab/>
      </w:r>
    </w:p>
    <w:p w:rsidR="00735E66" w:rsidRPr="00FD2A52" w:rsidRDefault="001B0DEC" w:rsidP="00735E66">
      <w:pPr>
        <w:rPr>
          <w:b/>
        </w:rPr>
      </w:pPr>
      <w:r w:rsidRPr="001B0DE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293.35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D6456E" w:rsidRDefault="00512E02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BB1EBA"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D6456E" w:rsidRDefault="00D6456E" w:rsidP="00D6456E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B0DEC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293.35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BB1EBA" w:rsidRPr="0071400B" w:rsidRDefault="00BB1EBA" w:rsidP="00BB1EBA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1400B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СТАТИСТИЧЕСКАЯ ОТЧЕТНОСТЬ: РОССТАТ ОБНОВИЛ ФОРМУ ОО-2 ДЛЯ ОБРАЗОВАТЕЛЬНЫХ ОРГАНИЗАЦИЙ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1B0DEC" w:rsidP="00735E66">
      <w:r w:rsidRPr="001B0DE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6.1pt;margin-top:328.85pt;width:408.8pt;height:201.4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Ведомство утвердило скорректированную форму ОО-2 «Сведения о материально-технической и информационной базе, финансово-экономической деятельности общеобразовательной организации».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основное изменение – новый срок сдачи отчета. Теперь это 1 апреля после отчетного периода, а не 20 апреля, как было раньше;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внесли небольшие правки в саму форму и указания по ее заполнению. Например, в справке 2 раздела 1.2 среди прочего нужно отражать наличие в организации мест для личной гигиены.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EBA" w:rsidRPr="00BB1EBA" w:rsidRDefault="00BB1EBA" w:rsidP="00BB1EB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за непредставление, несвоевременное представление либо сдачу недостоверной </w:t>
                  </w:r>
                  <w:proofErr w:type="spell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статотчетности</w:t>
                  </w:r>
                  <w:proofErr w:type="spell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штраф для организации может составить от 20 000 до 70 000 руб., для ее руководителя (ИП) – от 10 000 до 20 000 руб.</w:t>
                  </w:r>
                  <w:proofErr w:type="gramEnd"/>
                </w:p>
                <w:p w:rsidR="007C7C3B" w:rsidRPr="00123574" w:rsidRDefault="007C7C3B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1B0DEC" w:rsidP="00735E66">
      <w:pPr>
        <w:rPr>
          <w:rFonts w:ascii="Century Gothic" w:hAnsi="Century Gothic"/>
          <w:sz w:val="28"/>
          <w:szCs w:val="28"/>
        </w:rPr>
      </w:pPr>
      <w:r w:rsidRPr="001B0DEC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2.9pt;margin-top:367.6pt;width:126.15pt;height:72.7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Росстат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01.03.2024 N 84</w:t>
                    </w:r>
                  </w:hyperlink>
                </w:p>
                <w:p w:rsidR="00D6456E" w:rsidRPr="00595739" w:rsidRDefault="00D6456E" w:rsidP="00BB1EB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BB1EBA" w:rsidP="00D24391">
      <w:pPr>
        <w:ind w:left="-142"/>
      </w:pPr>
      <w:r>
        <w:rPr>
          <w:noProof/>
          <w:lang w:eastAsia="ru-RU"/>
        </w:rPr>
        <w:pict>
          <v:shape id="_x0000_s1467" type="#_x0000_t32" style="position:absolute;left:0;text-align:left;margin-left:-2.2pt;margin-top:18.05pt;width:548.2pt;height:.05pt;z-index:251962368" o:connectortype="straight"/>
        </w:pict>
      </w:r>
    </w:p>
    <w:p w:rsidR="00E376E4" w:rsidRDefault="001B0DEC" w:rsidP="00D24391">
      <w:pPr>
        <w:ind w:left="-142"/>
      </w:pPr>
      <w:r>
        <w:rPr>
          <w:noProof/>
          <w:lang w:eastAsia="ru-RU"/>
        </w:rPr>
        <w:pict>
          <v:shape id="_x0000_s1469" type="#_x0000_t202" style="position:absolute;left:0;text-align:left;margin-left:184pt;margin-top:553.6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BB1EBA" w:rsidRPr="0071400B" w:rsidRDefault="00BB1EBA" w:rsidP="00BB1EBA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1400B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КОГДА ПОЕЗДКА СПЕЦИАЛИСТА С РАЗЪЕЗДНОЙ РАБОТОЙ СЧИТАЕТСЯ КОМАНДИРОВКОЙ, НАПОМНИЛ РОСТРУД</w:t>
                  </w: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8" type="#_x0000_t202" style="position:absolute;left:0;text-align:left;margin-left:16.25pt;margin-top:551.7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23574" w:rsidRDefault="00BB1EB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1B0DEC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2.65pt;margin-top:589.15pt;width:405.25pt;height:209.7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Конкретный режим рабочего времени при разъездном характере работ должен быть отражен в правилах внутреннего трудового распорядка организации либо в трудовом договоре. Командировка – поездка работника по распоряжению работодателя на определенный срок для выполнения служебного поручения вне места постоянной работы. В каком случае разъездная работа станет для работника командировкой, указало ведомство.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32C71" w:rsidRPr="00432C71" w:rsidRDefault="00432C71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правильно оформить командировку работнику.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BB1EBA" w:rsidRPr="0071400B" w:rsidRDefault="00BB1EBA" w:rsidP="00BB1EBA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если в трудовом договоре установлено, что сотрудник передвигается по работе только по одному населенному пункту, то направление за его пределы считают командировкой.</w:t>
                  </w:r>
                </w:p>
                <w:p w:rsidR="00847888" w:rsidRDefault="00847888" w:rsidP="00756A32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EA6F15">
      <w:pPr>
        <w:jc w:val="both"/>
      </w:pPr>
    </w:p>
    <w:p w:rsidR="00CF4F22" w:rsidRDefault="001B0DEC" w:rsidP="002679F0">
      <w:r>
        <w:rPr>
          <w:noProof/>
          <w:lang w:eastAsia="ru-RU"/>
        </w:rPr>
        <w:pict>
          <v:rect id="_x0000_s1475" style="position:absolute;margin-left:24.1pt;margin-top:623.75pt;width:126.15pt;height:114.9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BB1EBA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</w:t>
                    </w:r>
                    <w:proofErr w:type="spellStart"/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Роструда</w:t>
                    </w:r>
                    <w:proofErr w:type="spellEnd"/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16.02.2024 N ПГ/01856-6</w:t>
                    </w:r>
                  </w:hyperlink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71400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Путеводитель по кадровым вопросам. Служебные командировки</w:t>
                    </w:r>
                  </w:hyperlink>
                </w:p>
                <w:p w:rsidR="00123574" w:rsidRPr="00007B0B" w:rsidRDefault="00123574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B1EBA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B0DEC">
        <w:rPr>
          <w:rFonts w:ascii="Century Gothic" w:hAnsi="Century Gothic" w:cs="Century Gothic"/>
          <w:noProof/>
          <w:szCs w:val="22"/>
        </w:rPr>
        <w:lastRenderedPageBreak/>
        <w:pict>
          <v:shape id="_x0000_s1394" type="#_x0000_t202" style="position:absolute;margin-left:18.2pt;margin-top:56.75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847888" w:rsidRDefault="0084788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B0DEC">
        <w:rPr>
          <w:rFonts w:ascii="Century Gothic" w:hAnsi="Century Gothic" w:cs="Century Gothic"/>
          <w:noProof/>
          <w:szCs w:val="22"/>
        </w:rPr>
        <w:pict>
          <v:shape id="_x0000_s1393" type="#_x0000_t202" style="position:absolute;margin-left:171.25pt;margin-top:56.7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BB1EBA" w:rsidRPr="0071400B" w:rsidRDefault="00BB1EBA" w:rsidP="00BB1EBA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71400B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ЛИКВИДАЦИЯ БЮДЖЕТНОГО ИЛИ АВТОНОМНОГО УЧРЕЖДЕНИЯ: ЗАКОН О ЗАЩИТЕ РЯДА КРЕДИТОРОВ ОПУБЛИКОВАН</w:t>
                  </w: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BB1EBA" w:rsidP="00324743">
      <w:pPr>
        <w:rPr>
          <w:rFonts w:ascii="Century Gothic" w:hAnsi="Century Gothic" w:cs="Century Gothic"/>
          <w:sz w:val="28"/>
          <w:szCs w:val="28"/>
        </w:rPr>
      </w:pPr>
      <w:r w:rsidRPr="001B0DEC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100.6pt;width:410.8pt;height:220.1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С 22 марта 2024 г. в ГК РФ зафиксируют: при ликвидации бюджетного учреждения собственник имущества этой организации </w:t>
                  </w:r>
                  <w:proofErr w:type="spell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субсидиарно</w:t>
                  </w:r>
                  <w:proofErr w:type="spell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отвечает по ее обязательствам из публичного договора. Речь идет о ситуации, когда у учреждения не хватает имущества, которое можно взыскать.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EBA" w:rsidRPr="00BB1EBA" w:rsidRDefault="00BB1EBA" w:rsidP="00BB1EB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бюджетные и автономные учреждения узнают о субсидиарной ответственности по закону в случае их ликвидации.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231B9A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аналогичное правило установят на случай ликвидации автономного учреждения;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сейчас в ГК РФ подобных норм нет. Однако еще в 2020 г. КС РФ разрешил привлекать к субсидиарной ответственности собственников имущества ликвидированных муниципальных бюджетных учреждений по их обязательствам из публичных договоров. В 2022 г. </w:t>
                  </w:r>
                  <w:proofErr w:type="gram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отметил: то же касается автономных учреждений.</w:t>
                  </w: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755E9" w:rsidRPr="00010CBA" w:rsidRDefault="005755E9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BB1EBA" w:rsidP="00324743">
      <w:pPr>
        <w:rPr>
          <w:rFonts w:ascii="Century Gothic" w:hAnsi="Century Gothic" w:cs="Century Gothic"/>
          <w:sz w:val="28"/>
          <w:szCs w:val="28"/>
        </w:rPr>
      </w:pPr>
      <w:r w:rsidRPr="001B0DEC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126pt;width:121.05pt;height:66.2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60AD9" w:rsidRDefault="00860AD9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кон от 11.03.2024 N 48-ФЗ</w:t>
                    </w:r>
                  </w:hyperlink>
                </w:p>
                <w:p w:rsidR="002C701F" w:rsidRPr="000E5FED" w:rsidRDefault="002C701F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BB1EBA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1B0DEC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1.6pt;margin-top:1.15pt;width:548.2pt;height:.05pt;z-index:251969536" o:connectortype="straight"/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18.2pt;margin-top:346.4pt;width:143.55pt;height:92.7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BB1EBA" w:rsidRPr="00A56B9E" w:rsidRDefault="00BB1EBA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A56B9E" w:rsidRDefault="00455114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55114" w:rsidRPr="00C066C7" w:rsidRDefault="00455114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B0DEC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194.8pt;margin-top:346.4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BB1EBA" w:rsidRPr="0071400B" w:rsidRDefault="00BB1EBA" w:rsidP="00BB1EBA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bookmarkStart w:id="0" w:name="_Алкоголь_в_магазинах"/>
                  <w:bookmarkEnd w:id="0"/>
                  <w:r w:rsidRPr="0071400B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КАССАЦИЯ НЕ ВЗЫСКАЛА С ПОДРЯДЧИКА ПЕРЕПЛАТУ ПО ГОСКОНТРАКТУ ИЗ-ЗА ОШИБКИ В РАСЧЕТЕ НМЦК</w:t>
                  </w:r>
                </w:p>
                <w:p w:rsidR="00455114" w:rsidRPr="00007B0B" w:rsidRDefault="00455114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E6AE5" w:rsidRDefault="00455114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BB1EBA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1B0DE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left:0;text-align:left;margin-left:175.9pt;margin-top:384.25pt;width:406.15pt;height:351.7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455114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55114" w:rsidRPr="00C87B8E" w:rsidRDefault="00455114" w:rsidP="0045511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C87B8E">
                    <w:rPr>
                      <w:rFonts w:ascii="Century Gothic" w:hAnsi="Century Gothic"/>
                      <w:sz w:val="19"/>
                      <w:szCs w:val="19"/>
                    </w:rPr>
                    <w:t xml:space="preserve">С 9 марта </w:t>
                  </w:r>
                  <w:proofErr w:type="spellStart"/>
                  <w:r w:rsidRPr="00C87B8E">
                    <w:rPr>
                      <w:rFonts w:ascii="Century Gothic" w:hAnsi="Century Gothic"/>
                      <w:sz w:val="19"/>
                      <w:szCs w:val="19"/>
                    </w:rPr>
                    <w:t>Росалкогольтабакконтроль</w:t>
                  </w:r>
                  <w:proofErr w:type="spellEnd"/>
                  <w:r w:rsidRPr="00C87B8E">
                    <w:rPr>
                      <w:rFonts w:ascii="Century Gothic" w:hAnsi="Century Gothic"/>
                      <w:sz w:val="19"/>
                      <w:szCs w:val="19"/>
                    </w:rPr>
                    <w:t xml:space="preserve"> вправе выборочно проверять алкогольную продукцию в рознице. Критерии для выбора продукции определят Минфин и Минэкономразвития.</w:t>
                  </w:r>
                </w:p>
                <w:p w:rsidR="00455114" w:rsidRPr="006D27C1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D27C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BB1EBA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подобных ситуациях могут воспользоваться аргументами суда.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C73FF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BB1EBA" w:rsidRPr="0071400B" w:rsidRDefault="00BB1EBA" w:rsidP="00BB1EBA">
                  <w:pPr>
                    <w:pStyle w:val="af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Суд указал: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по верному расчету НМЦК составляла 1,9 </w:t>
                  </w:r>
                  <w:proofErr w:type="spellStart"/>
                  <w:proofErr w:type="gram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Предложение подрядчика – 1,6 </w:t>
                  </w:r>
                  <w:proofErr w:type="spell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Ошибку заказчика нивелировало снижение цены;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заказчик не доказал, что контрагент вел себя недобросовестно. Ремонт выполнили полностью без замечаний по объему и качеству. В таком случае работы оплачивают по твердой цене, требовать уменьшения которой заказчик не вправе;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на стороне подрядчика может возникнуть неосновательное обогащение, если верная НМЦК окажется ниже цены контракта. В данном случае это не так;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не доказали неэффективное расходование средств и ущерб бюджету;</w:t>
                  </w:r>
                </w:p>
                <w:p w:rsidR="00BB1EBA" w:rsidRPr="0071400B" w:rsidRDefault="00BB1EBA" w:rsidP="00BB1EB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взыскание переплаты может нарушить баланс интересов сторон, поскольку качественная работа будет оплачена ниже согласованной цены.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B1EBA" w:rsidRPr="00BB1EBA" w:rsidRDefault="00BB1EBA" w:rsidP="00BB1EB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по данному вопросу в судебной практике нет единой позиции. Так, к другому мнению пришел АС </w:t>
                  </w:r>
                  <w:proofErr w:type="spell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Западно-Сибирского</w:t>
                  </w:r>
                  <w:proofErr w:type="spell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округа (Постановление от 25.05.2023 по делу N А45-28354/2022) и </w:t>
                  </w:r>
                  <w:proofErr w:type="gramStart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71400B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его поддержал (Определение от 24.08.2023 N 304-ЭС23-14866).</w:t>
                  </w:r>
                </w:p>
                <w:p w:rsidR="00BB1EBA" w:rsidRPr="0071400B" w:rsidRDefault="00BB1EBA" w:rsidP="00BB1EBA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0E5FED" w:rsidRDefault="00455114" w:rsidP="00455114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BB1EBA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23.6pt;margin-top:452.1pt;width:131.35pt;height:84.8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455114" w:rsidRDefault="00455114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55114" w:rsidRDefault="00455114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B1EBA" w:rsidRPr="0071400B" w:rsidRDefault="00BB1EBA" w:rsidP="00BB1EBA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АС Ур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льского округа от 01.03.2024 по делу </w:t>
                    </w:r>
                    <w:r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1400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N А60-9329/2023</w:t>
                    </w:r>
                  </w:hyperlink>
                </w:p>
                <w:p w:rsidR="00455114" w:rsidRPr="004366EC" w:rsidRDefault="00455114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65" w:rsidRDefault="00854165" w:rsidP="00735E66">
      <w:pPr>
        <w:spacing w:after="0" w:line="240" w:lineRule="auto"/>
      </w:pPr>
      <w:r>
        <w:separator/>
      </w:r>
    </w:p>
  </w:endnote>
  <w:endnote w:type="continuationSeparator" w:id="0">
    <w:p w:rsidR="00854165" w:rsidRDefault="00854165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65" w:rsidRDefault="00854165" w:rsidP="00735E66">
      <w:pPr>
        <w:spacing w:after="0" w:line="240" w:lineRule="auto"/>
      </w:pPr>
      <w:r>
        <w:separator/>
      </w:r>
    </w:p>
  </w:footnote>
  <w:footnote w:type="continuationSeparator" w:id="0">
    <w:p w:rsidR="00854165" w:rsidRDefault="00854165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  <o:rules v:ext="edit">
        <o:r id="V:Rule5" type="connector" idref="#_x0000_s1477"/>
        <o:r id="V:Rule6" type="connector" idref="#_x0000_s1467"/>
        <o:r id="V:Rule7" type="connector" idref="#_x0000_s14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238055" TargetMode="External"/><Relationship Id="rId13" Type="http://schemas.openxmlformats.org/officeDocument/2006/relationships/hyperlink" Target="https://login.consultant.ru/link/?req=doc&amp;base=AUR&amp;n=2627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AUR&amp;n=261651" TargetMode="External"/><Relationship Id="rId12" Type="http://schemas.openxmlformats.org/officeDocument/2006/relationships/hyperlink" Target="https://login.consultant.ru/link/?req=doc&amp;base=LAW&amp;n=4718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KV&amp;n=1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QUEST&amp;n=221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6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2024-03-17T13:03:00Z</dcterms:created>
  <dcterms:modified xsi:type="dcterms:W3CDTF">2024-03-17T13:03:00Z</dcterms:modified>
</cp:coreProperties>
</file>