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1F0037" w:rsidP="00735E66">
      <w:pPr>
        <w:tabs>
          <w:tab w:val="left" w:pos="252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9" type="#_x0000_t202" style="position:absolute;margin-left:169.1pt;margin-top:44.3pt;width:401.75pt;height:22.7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Text Box 15" inset="0,0,0,0">
              <w:txbxContent>
                <w:p w:rsidR="00047B80" w:rsidRDefault="00047B80" w:rsidP="00047B80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КОМПЕНСАЦИЯ ЗА ИСПОЛЬЗОВАНИЕ ЛИЧНОГО ТРАНСПОРТА РАБОТНИКА: НОРМАТИВЫ УВЕЛИЧЕНЫ В 2 РАЗА</w:t>
                  </w:r>
                </w:p>
                <w:p w:rsidR="00756A32" w:rsidRPr="00C87B8E" w:rsidRDefault="00756A32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C701F" w:rsidRPr="000E5FED" w:rsidRDefault="002C701F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485423" w:rsidRPr="00A24A94" w:rsidRDefault="00485423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32C71" w:rsidRPr="00AC3149" w:rsidRDefault="00432C71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202C3" w:rsidRDefault="006202C3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Pr="00A43CEC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D4538" w:rsidRPr="001B40C8" w:rsidRDefault="006D4538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127CE" w:rsidRDefault="00B127CE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324" o:spid="_x0000_s1026" type="#_x0000_t202" style="position:absolute;margin-left:16.25pt;margin-top:40.05pt;width:139.6pt;height:77.55pt;z-index: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Text Box 324" inset=",0,,0">
              <w:txbxContent>
                <w:p w:rsidR="007F4FDE" w:rsidRDefault="007F4FDE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756A32" w:rsidRDefault="00AE7FD5" w:rsidP="00756A32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</w:t>
                  </w:r>
                  <w:r w:rsidR="00756A32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  <w:r w:rsidR="00047B80">
                    <w:rPr>
                      <w:b/>
                      <w:color w:val="FFFFFF"/>
                      <w:sz w:val="24"/>
                      <w:szCs w:val="24"/>
                    </w:rPr>
                    <w:t>и бюджетному</w:t>
                  </w:r>
                </w:p>
                <w:p w:rsidR="00C35D7E" w:rsidRDefault="002C701F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AD6E3C" w:rsidRPr="00870CCA" w:rsidRDefault="00AD6E3C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805A0B" w:rsidRPr="0036155D" w:rsidRDefault="00805A0B" w:rsidP="0036155D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1F0037" w:rsidP="005D55D8">
      <w:pPr>
        <w:ind w:left="-142"/>
        <w:rPr>
          <w:i/>
        </w:rPr>
      </w:pPr>
      <w:r>
        <w:rPr>
          <w:noProof/>
          <w:lang w:eastAsia="ru-RU"/>
        </w:rPr>
        <w:pict>
          <v:shape id="Text Box 14" o:spid="_x0000_s1030" type="#_x0000_t202" style="position:absolute;left:0;text-align:left;margin-left:169.1pt;margin-top:77.55pt;width:410.8pt;height:195.25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Text Box 14" inset="0,0,,0">
              <w:txbxContent>
                <w:p w:rsidR="00204C7D" w:rsidRPr="00BD269A" w:rsidRDefault="00204C7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047B80" w:rsidRDefault="00047B80" w:rsidP="00047B8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Правительство повысило лимиты компенсации за использование автомобилей и мотоциклов сотрудников для служебных поездок. Документ вступил в силу 5 апреля. Его действие распространили на отношения с 1 января 2024 г.</w:t>
                  </w:r>
                </w:p>
                <w:p w:rsidR="00047B80" w:rsidRPr="00047B80" w:rsidRDefault="00047B80" w:rsidP="00047B80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047B8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047B80" w:rsidRDefault="00047B80" w:rsidP="00047B8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при расчете  налога на прибыль организации могут правильно определить данную компенсацию в пределах лимитов.</w:t>
                  </w:r>
                </w:p>
                <w:p w:rsidR="00515423" w:rsidRDefault="00515423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A228D9" w:rsidRPr="00047B80" w:rsidRDefault="00047B80" w:rsidP="00047B80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Century Gothic" w:hAnsi="Century Gothic"/>
                      <w:spacing w:val="-4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pacing w:val="-4"/>
                      <w:sz w:val="19"/>
                      <w:szCs w:val="19"/>
                    </w:rPr>
                    <w:t>нормативы следующие: для легковых автомобилей с объемом двигателя до 2 000 куб. см включительно – 2 400 руб., свыше 2 000 куб. см – 3 000 руб., для мотоциклов – 1 200 руб.</w:t>
                  </w:r>
                </w:p>
              </w:txbxContent>
            </v:textbox>
            <w10:wrap anchorx="page" anchory="page"/>
          </v:shape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1F0037" w:rsidP="00735E66">
      <w:pPr>
        <w:rPr>
          <w:rFonts w:ascii="Century Gothic" w:hAnsi="Century Gothic"/>
          <w:b/>
          <w:i/>
          <w:sz w:val="16"/>
          <w:szCs w:val="16"/>
        </w:rPr>
      </w:pPr>
      <w:r>
        <w:rPr>
          <w:i/>
          <w:noProof/>
          <w:lang w:eastAsia="ru-RU"/>
        </w:rPr>
        <w:pict>
          <v:rect id="Rectangle 336" o:spid="_x0000_s1028" style="position:absolute;margin-left:24.1pt;margin-top:125.45pt;width:124.95pt;height:141.1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Rectangle 336" inset="0,0,0,0">
              <w:txbxContent>
                <w:p w:rsidR="00847888" w:rsidRDefault="00515423" w:rsidP="00047B8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6202C3"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047B80" w:rsidRDefault="001F0037" w:rsidP="00047B8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="00047B8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Постановление Правительства РФ от 03.04.2024 N 417</w:t>
                    </w:r>
                  </w:hyperlink>
                </w:p>
                <w:p w:rsidR="00BB1EBA" w:rsidRDefault="00756A32" w:rsidP="00047B80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C87B8E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047B80" w:rsidRDefault="001F0037" w:rsidP="00047B80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="00047B8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 учесть компенсацию сотруднику за использование личного транспорта при УСН</w:t>
                    </w:r>
                  </w:hyperlink>
                </w:p>
                <w:p w:rsidR="00047B80" w:rsidRDefault="00047B80" w:rsidP="00047B80">
                  <w:pPr>
                    <w:shd w:val="clear" w:color="auto" w:fill="FFFFFF" w:themeFill="background1"/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277FD" w:rsidRDefault="004277FD" w:rsidP="00BB1EBA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1F0037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2" type="#_x0000_t32" style="position:absolute;margin-left:1.25pt;margin-top:15.95pt;width:548.2pt;height:.05pt;z-index:251951104" o:connectortype="straight"/>
        </w:pict>
      </w:r>
      <w:r w:rsidR="00F84193">
        <w:tab/>
      </w:r>
      <w:r w:rsidR="00F84193">
        <w:tab/>
      </w:r>
    </w:p>
    <w:p w:rsidR="00735E66" w:rsidRPr="00FD2A52" w:rsidRDefault="001F0037" w:rsidP="00735E66">
      <w:pPr>
        <w:rPr>
          <w:b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43" type="#_x0000_t202" style="position:absolute;margin-left:16.25pt;margin-top:293.35pt;width:139.6pt;height:59.35pt;z-index:25195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43" inset=",0,,0">
              <w:txbxContent>
                <w:p w:rsidR="00047B80" w:rsidRDefault="00512E02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</w:t>
                  </w:r>
                  <w:r w:rsidR="00047B80">
                    <w:rPr>
                      <w:b/>
                      <w:color w:val="FFFFFF"/>
                      <w:sz w:val="24"/>
                      <w:szCs w:val="24"/>
                    </w:rPr>
                    <w:t>коммерческому и бюджетному</w:t>
                  </w:r>
                </w:p>
                <w:p w:rsidR="00D6456E" w:rsidRDefault="00D6456E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D6456E" w:rsidRPr="00C066C7" w:rsidRDefault="00D6456E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cstheme="minorHAnsi"/>
          <w:noProof/>
          <w:color w:val="5F497A"/>
          <w:sz w:val="19"/>
          <w:szCs w:val="19"/>
          <w:u w:val="single"/>
        </w:rPr>
        <w:pict>
          <v:shape id="_x0000_s1438" type="#_x0000_t202" style="position:absolute;margin-left:196.35pt;margin-top:293.35pt;width:374.5pt;height:22.35pt;z-index:25194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38" inset="0,0,0,0">
              <w:txbxContent>
                <w:p w:rsidR="00047B80" w:rsidRDefault="00047B80" w:rsidP="00047B80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НАЛОГОВИКИ УТОЧНИЛИ КОНТРОЛЬНОЕ СООТНОШЕНИЕ ДЛЯ 6-НДФЛ</w:t>
                  </w:r>
                </w:p>
                <w:p w:rsidR="00BB1EBA" w:rsidRPr="0071400B" w:rsidRDefault="00BB1EBA" w:rsidP="00BB1EBA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33AEA" w:rsidRPr="00F31774" w:rsidRDefault="00833AEA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85423" w:rsidRPr="00A24A94" w:rsidRDefault="00485423" w:rsidP="004854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F5542D" w:rsidRPr="00856556" w:rsidRDefault="00F5542D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847888" w:rsidRPr="00252EF1" w:rsidRDefault="00847888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228D9" w:rsidRPr="00DD0A9F" w:rsidRDefault="00A228D9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A228D9" w:rsidRPr="00A361A1" w:rsidRDefault="00A228D9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5E7F" w:rsidRPr="00147500" w:rsidRDefault="00355E7F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6456E" w:rsidRPr="005B3F27" w:rsidRDefault="00D6456E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67C6E" w:rsidRPr="002211D3" w:rsidRDefault="00567C6E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7C4C53" w:rsidRDefault="001F0037" w:rsidP="00735E66"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39" type="#_x0000_t202" style="position:absolute;margin-left:176.1pt;margin-top:319.15pt;width:408.8pt;height:164.1pt;z-index:25194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39" inset="0,0,,0">
              <w:txbxContent>
                <w:p w:rsidR="00567C6E" w:rsidRPr="00BD269A" w:rsidRDefault="00567C6E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047B80" w:rsidRDefault="00047B80" w:rsidP="00047B8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Контрольное соотношение, которое уточнило ведомство, укажет на завышение удержанного налога.</w:t>
                  </w:r>
                </w:p>
                <w:p w:rsidR="00404432" w:rsidRDefault="00404432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047B80" w:rsidRDefault="00047B80" w:rsidP="00047B8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самостоятельно проверить, соответствует ли удержанная сумма налога расчетному значению.</w:t>
                  </w:r>
                </w:p>
                <w:p w:rsidR="00BB1EBA" w:rsidRPr="00BB1EBA" w:rsidRDefault="00BB1EBA" w:rsidP="00BB1EB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B1EB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Риски неприменения документа:</w:t>
                  </w:r>
                </w:p>
                <w:p w:rsidR="00047B80" w:rsidRDefault="00047B80" w:rsidP="00047B80">
                  <w:pPr>
                    <w:pStyle w:val="af"/>
                    <w:tabs>
                      <w:tab w:val="left" w:pos="284"/>
                    </w:tabs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внутридокументное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соотношение 1.14 теперь такое: строка 140 раздела 2 - строка 150 раздела 2 - строка 155 раздела 2 - строка 156 раздела 2 ≥ строка 160 раздела 2 + строка 170 раздела 2 - строка 180 раздела 2 - строка 190 раздела 2.</w:t>
                  </w:r>
                </w:p>
                <w:p w:rsidR="007C7C3B" w:rsidRPr="00123574" w:rsidRDefault="007C7C3B" w:rsidP="00047B80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7C4C53" w:rsidRDefault="001F0037" w:rsidP="00735E66">
      <w:pPr>
        <w:rPr>
          <w:rFonts w:ascii="Century Gothic" w:hAnsi="Century Gothic"/>
          <w:sz w:val="28"/>
          <w:szCs w:val="28"/>
        </w:rPr>
      </w:pPr>
      <w:r>
        <w:rPr>
          <w:rFonts w:cstheme="minorHAnsi"/>
          <w:noProof/>
          <w:color w:val="5F497A"/>
          <w:sz w:val="19"/>
          <w:szCs w:val="19"/>
          <w:u w:val="single"/>
        </w:rPr>
        <w:pict>
          <v:rect id="_x0000_s1444" style="position:absolute;margin-left:22.9pt;margin-top:367.6pt;width:126.15pt;height:72.7pt;z-index:-2513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44" inset="0,0,0,0">
              <w:txbxContent>
                <w:p w:rsidR="00D6456E" w:rsidRDefault="00D6456E" w:rsidP="00047B80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BB1EBA" w:rsidRDefault="00BB1EBA" w:rsidP="00047B80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047B80" w:rsidRDefault="001F0037" w:rsidP="00047B8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="00047B8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ФНС России от 05.04.2024 N БС-4-11/4009@</w:t>
                    </w:r>
                  </w:hyperlink>
                </w:p>
                <w:p w:rsidR="00D6456E" w:rsidRPr="00595739" w:rsidRDefault="00D6456E" w:rsidP="00BB1EBA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1F0037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>
        <w:rPr>
          <w:noProof/>
          <w:lang w:eastAsia="ru-RU"/>
        </w:rPr>
        <w:pict>
          <v:shape id="_x0000_s1468" type="#_x0000_t202" style="position:absolute;left:0;text-align:left;margin-left:16.25pt;margin-top:507.45pt;width:139.6pt;height:63.65pt;z-index:25196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68" inset=",0,,0">
              <w:txbxContent>
                <w:p w:rsidR="00047B80" w:rsidRDefault="00047B80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 и бюджетному, Руководителю</w:t>
                  </w:r>
                </w:p>
                <w:p w:rsidR="00123574" w:rsidRDefault="00123574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485423" w:rsidRDefault="00485423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A16DA" w:rsidRPr="00C066C7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69" type="#_x0000_t202" style="position:absolute;left:0;text-align:left;margin-left:189.55pt;margin-top:514.15pt;width:381.3pt;height:22.35pt;z-index:25196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69" inset="0,0,0,0">
              <w:txbxContent>
                <w:p w:rsidR="00047B80" w:rsidRDefault="00047B80" w:rsidP="00047B80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ЭКОНОМИЧЕСКИЕ ПРЕСТУПЛЕНИЯ: ЗАКОН О ПОВЫШЕНИИ ПОРОГОВ СУММ УЩЕРБА ОПУБЛИКОВАН</w:t>
                  </w:r>
                </w:p>
                <w:p w:rsidR="00EA16DA" w:rsidRPr="00DD0A9F" w:rsidRDefault="00EA16DA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EA16DA" w:rsidRPr="00A361A1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14750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3354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5B3F27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211D3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67" type="#_x0000_t32" style="position:absolute;left:0;text-align:left;margin-left:-2.2pt;margin-top:4.05pt;width:548.2pt;height:.05pt;z-index:251962368" o:connectortype="straight"/>
        </w:pict>
      </w:r>
    </w:p>
    <w:p w:rsidR="00204C7D" w:rsidRDefault="00204C7D" w:rsidP="00D24391">
      <w:pPr>
        <w:ind w:left="-142"/>
      </w:pPr>
    </w:p>
    <w:p w:rsidR="00E376E4" w:rsidRDefault="001F0037" w:rsidP="00D24391">
      <w:pPr>
        <w:ind w:left="-142"/>
      </w:pPr>
      <w:r>
        <w:rPr>
          <w:noProof/>
          <w:lang w:eastAsia="ru-RU"/>
        </w:rPr>
        <w:pict>
          <v:shape id="_x0000_s1470" type="#_x0000_t202" style="position:absolute;left:0;text-align:left;margin-left:172.65pt;margin-top:554.55pt;width:405.25pt;height:244.35pt;z-index:25196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0" inset="0,0,,0">
              <w:txbxContent>
                <w:p w:rsidR="00EA16DA" w:rsidRPr="00BD269A" w:rsidRDefault="00EA16DA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047B80" w:rsidRDefault="00047B80" w:rsidP="00047B8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pacing w:val="-4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pacing w:val="-4"/>
                      <w:sz w:val="19"/>
                      <w:szCs w:val="19"/>
                    </w:rPr>
                    <w:t>Проиндексировали суммы ущерба, из-за которого преступление признают совершенным в крупном или особо крупном размере. Изменения заработают с 17 апреля 2024 г.</w:t>
                  </w:r>
                </w:p>
                <w:p w:rsidR="00432C71" w:rsidRPr="00432C71" w:rsidRDefault="00432C71" w:rsidP="00432C71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32C7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047B80" w:rsidRDefault="00047B80" w:rsidP="00047B8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организации и ответственные лица узнают, когда налог считается не уплаченным в крупном и особо крупном размере.</w:t>
                  </w:r>
                </w:p>
                <w:p w:rsidR="009F070A" w:rsidRDefault="009F070A" w:rsidP="009F07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</w:t>
                  </w:r>
                  <w:r w:rsidRPr="00BB4C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материалу</w:t>
                  </w: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можно узнать: </w:t>
                  </w:r>
                </w:p>
                <w:p w:rsidR="00047B80" w:rsidRDefault="00047B80" w:rsidP="00047B80">
                  <w:pPr>
                    <w:pStyle w:val="af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преступление сочтут совершенным в крупном размере, если сумма неуплаты налогов, сборов, взносов за 3 финансовых года подряд превысит 18,75 млн руб., в особо крупном – 56,25 млн руб. Сейчас эти пороги для налогоплательщиков-организаций и налоговых агентов составляют 15 млн и 45 млн руб.</w:t>
                  </w:r>
                </w:p>
                <w:p w:rsidR="00047B80" w:rsidRDefault="00047B80" w:rsidP="00047B80">
                  <w:pPr>
                    <w:pStyle w:val="af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преступление посчитают совершенным в крупном размере, если сумма неуплаты взносов на травматизм страхователями-организациями за 3 финансовых года подряд превысит 7,5 млн руб., а в особо крупном – 37,5 млн руб. Сейчас эти пороги составляют 6 млн и 30 млн руб.</w:t>
                  </w:r>
                </w:p>
                <w:p w:rsidR="00047B80" w:rsidRDefault="00047B80" w:rsidP="00047B80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47888" w:rsidRDefault="00847888" w:rsidP="00047B80">
                  <w:pPr>
                    <w:pStyle w:val="af"/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1F0037" w:rsidP="00D24391">
      <w:pPr>
        <w:ind w:left="-142"/>
      </w:pPr>
      <w:r>
        <w:rPr>
          <w:noProof/>
          <w:lang w:eastAsia="ru-RU"/>
        </w:rPr>
        <w:pict>
          <v:rect id="_x0000_s1475" style="position:absolute;left:0;text-align:left;margin-left:24.1pt;margin-top:585pt;width:126.15pt;height:144.7pt;z-index:-25134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75" inset="0,0,0,0">
              <w:txbxContent>
                <w:p w:rsidR="009F070A" w:rsidRDefault="009F070A" w:rsidP="00437816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BB1EBA" w:rsidRDefault="00BB1EBA" w:rsidP="00437816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437816" w:rsidRDefault="001F0037" w:rsidP="0043781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="0043781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 закон от 06.04.2024 N 79-ФЗ</w:t>
                    </w:r>
                  </w:hyperlink>
                </w:p>
                <w:p w:rsidR="00BB1EBA" w:rsidRPr="0071400B" w:rsidRDefault="00BB1EBA" w:rsidP="00437816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BB1EBA" w:rsidRPr="0071400B" w:rsidRDefault="00BB1EBA" w:rsidP="00437816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71400B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437816" w:rsidRDefault="001F0037" w:rsidP="00437816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="0043781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Уголовная ответственность за неуплату налогов, страховых взносов и сборов</w:t>
                    </w:r>
                  </w:hyperlink>
                </w:p>
                <w:p w:rsidR="00123574" w:rsidRPr="00007B0B" w:rsidRDefault="00123574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32C71" w:rsidRDefault="00432C71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E376E4" w:rsidRDefault="00E376E4" w:rsidP="00EA6F15">
      <w:pPr>
        <w:jc w:val="both"/>
      </w:pP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F0037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w:pict>
          <v:shape id="_x0000_s1394" type="#_x0000_t202" style="position:absolute;margin-left:18.2pt;margin-top:36.7pt;width:136.75pt;height:48.35pt;z-index:25192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394" inset=",0,,0">
              <w:txbxContent>
                <w:p w:rsidR="00437816" w:rsidRDefault="00437816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047B80" w:rsidRDefault="00047B80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847888" w:rsidRDefault="00847888" w:rsidP="00EC73F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80C5A" w:rsidRDefault="00980C5A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0F2CB8" w:rsidRPr="00C066C7" w:rsidRDefault="000F2CB8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entury Gothic" w:hAnsi="Century Gothic" w:cs="Century Gothic"/>
          <w:noProof/>
          <w:szCs w:val="22"/>
        </w:rPr>
        <w:pict>
          <v:shape id="_x0000_s1393" type="#_x0000_t202" style="position:absolute;margin-left:171.25pt;margin-top:36.7pt;width:412.85pt;height:23.75pt;z-index:25192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393" inset="0,0,0,0">
              <w:txbxContent>
                <w:p w:rsidR="00437816" w:rsidRDefault="00437816" w:rsidP="00437816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ОВДОВЕВШИХ СУПРУГОВ ВЕТЕРАНОВ БОЕВЫХ ДЕЙСТВИЙ УВОЛЬНЯТЬ НЕЛЬЗЯ В ТЕЧЕНИЕ ГОДА</w:t>
                  </w:r>
                </w:p>
                <w:p w:rsidR="00437816" w:rsidRDefault="00437816" w:rsidP="00437816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2C701F" w:rsidRPr="000E5FED" w:rsidRDefault="002C701F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71132" w:rsidRPr="00433B78" w:rsidRDefault="00B71132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85E09" w:rsidRPr="00511483" w:rsidRDefault="00E85E09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F2CB8" w:rsidRPr="00317DB3" w:rsidRDefault="000F2CB8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1F0037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</w:rPr>
        <w:pict>
          <v:shape id="_x0000_s1396" type="#_x0000_t202" style="position:absolute;margin-left:171.25pt;margin-top:65.75pt;width:410.8pt;height:176.5pt;z-index:25192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396" inset="0,0,,0">
              <w:txbxContent>
                <w:p w:rsidR="000F2CB8" w:rsidRPr="00BD269A" w:rsidRDefault="000F2CB8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437816" w:rsidRDefault="00437816" w:rsidP="00437816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ТК РФ дополнен новой статьей 264.1 «Гарантии супруге (супругу) погибшего (умершего) ветерана боевых действий». Ее положения устанавливают, что расторгать трудовой договор с супругой (супругом) погибшего (умершего) ветерана боевых действий по инициативе работодателя не допускается в течение одного года с момента гибели ветерана.</w:t>
                  </w:r>
                </w:p>
                <w:p w:rsidR="00BB1EBA" w:rsidRPr="00BB1EBA" w:rsidRDefault="00BB1EBA" w:rsidP="0043781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B1EB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437816" w:rsidRDefault="00437816" w:rsidP="00437816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 о новой гарантии для отдельных работников.</w:t>
                  </w:r>
                </w:p>
                <w:p w:rsidR="00231B9A" w:rsidRPr="00231B9A" w:rsidRDefault="00231B9A" w:rsidP="0043781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31B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437816" w:rsidRDefault="00437816" w:rsidP="00437816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с 6 апреля работодатели не вправе расторгать трудовые договоры по своей инициативе с овдовевшими супругами ветеранов боевых действий. Запрет применяется год после смерти. При этом есть исключения, в частности: повторный брак овдовевшего специалиста, ликвидация организации, грубый или неоднократный проступок.</w:t>
                  </w:r>
                </w:p>
                <w:p w:rsidR="00EC73FF" w:rsidRPr="004100A7" w:rsidRDefault="00EC73FF" w:rsidP="00EC73F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C73FF" w:rsidRPr="004100A7" w:rsidRDefault="00EC73FF" w:rsidP="00EC73F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755E9" w:rsidRPr="00010CBA" w:rsidRDefault="005755E9" w:rsidP="00092843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1F0037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w:pict>
          <v:rect id="_x0000_s1395" style="position:absolute;margin-left:30.4pt;margin-top:94.15pt;width:121.05pt;height:66.2pt;z-index:-251394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395" inset="0,0,0,0">
              <w:txbxContent>
                <w:p w:rsidR="00B71132" w:rsidRDefault="000F2CB8" w:rsidP="0043781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="00B71132"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860AD9" w:rsidRDefault="00860AD9" w:rsidP="0043781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37816" w:rsidRDefault="001F0037" w:rsidP="0043781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="0043781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 закон от 06.04.2024 N 70-ФЗ</w:t>
                    </w:r>
                  </w:hyperlink>
                </w:p>
                <w:p w:rsidR="002C701F" w:rsidRPr="000E5FED" w:rsidRDefault="002C701F" w:rsidP="00437816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766EB" w:rsidRPr="004366EC" w:rsidRDefault="00B766EB" w:rsidP="0043781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1F0037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77" type="#_x0000_t32" style="position:absolute;margin-left:-11.85pt;margin-top:24.6pt;width:548.2pt;height:.05pt;z-index:251969536" o:connectortype="straight"/>
        </w:pict>
      </w:r>
    </w:p>
    <w:p w:rsidR="00324743" w:rsidRPr="00324743" w:rsidRDefault="001F0037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80" type="#_x0000_t202" style="position:absolute;margin-left:18.2pt;margin-top:246.35pt;width:143.55pt;height:103.85pt;z-index:25197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0" inset=",0,,0">
              <w:txbxContent>
                <w:p w:rsidR="00BB1EBA" w:rsidRPr="00A56B9E" w:rsidRDefault="00BB1EBA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Специалисту по закупкам (заказчикам и участникам по Закон</w:t>
                  </w:r>
                  <w:r w:rsidR="00437816">
                    <w:rPr>
                      <w:b/>
                      <w:color w:val="FFFFFF"/>
                      <w:sz w:val="26"/>
                      <w:szCs w:val="26"/>
                    </w:rPr>
                    <w:t>ам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N 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</w:t>
                  </w:r>
                  <w:r w:rsidR="00437816">
                    <w:rPr>
                      <w:b/>
                      <w:color w:val="FFFFFF"/>
                      <w:sz w:val="26"/>
                      <w:szCs w:val="26"/>
                    </w:rPr>
                    <w:t xml:space="preserve"> и 223-ФЗ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)</w:t>
                  </w:r>
                </w:p>
                <w:p w:rsidR="00BB1EBA" w:rsidRPr="00A56B9E" w:rsidRDefault="00BB1EBA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455114" w:rsidRPr="00A56B9E" w:rsidRDefault="00455114" w:rsidP="00455114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455114" w:rsidRPr="00C066C7" w:rsidRDefault="00455114" w:rsidP="00455114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78" type="#_x0000_t202" style="position:absolute;margin-left:192pt;margin-top:242.25pt;width:365.4pt;height:25.85pt;z-index:25197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78" inset="0,0,0,0">
              <w:txbxContent>
                <w:p w:rsidR="00437816" w:rsidRDefault="00437816" w:rsidP="00437816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СУДЕБНАЯ ПРАКТИКА И ПРАКТИКА ФАС: КАКИЕ ОШИБКИ ЗАКАЗЧИКОВ ПО ЗАКОНАМ N 44-ФЗ И 223-ФЗ РАССМАТРИВАЛИ В ФЕВРАЛЕ</w:t>
                  </w:r>
                </w:p>
                <w:p w:rsidR="00455114" w:rsidRPr="00007B0B" w:rsidRDefault="00455114" w:rsidP="0045511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55114" w:rsidRPr="00EE6AE5" w:rsidRDefault="00455114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1F0037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79" type="#_x0000_t202" style="position:absolute;margin-left:175.9pt;margin-top:278.3pt;width:406.15pt;height:274.85pt;z-index:25197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9" inset="0,0,,0">
              <w:txbxContent>
                <w:p w:rsidR="00455114" w:rsidRDefault="00455114" w:rsidP="0045511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437816" w:rsidRDefault="00437816" w:rsidP="00437816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Появились обзоры практики в сфере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госзакупок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и закупок товаров, работ, услуг отдельными видами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юрлиц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. В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госзакупках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определили неверный порядок оценки заявок, без оснований отклонили одну из них. В закупках по Закону N 223-ФЗ потребовали лишние сведения от участников, включили в проект договора незаконное условие.</w:t>
                  </w:r>
                </w:p>
                <w:p w:rsidR="00455114" w:rsidRPr="00EC73FF" w:rsidRDefault="00455114" w:rsidP="0043781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437816" w:rsidRDefault="00437816" w:rsidP="00437816">
                  <w:pPr>
                    <w:pStyle w:val="af"/>
                    <w:numPr>
                      <w:ilvl w:val="0"/>
                      <w:numId w:val="1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госзаказчик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закупал услуги по обеспечению эксплуатации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информсистемы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в сфере управления общественными финансами. Для оценки опыта он принимал договоры на сопоставимые услуги лишь в данной сфере. Контролеры и суд посчитали, что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госзаказчик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ограничил конкуренцию;</w:t>
                  </w:r>
                </w:p>
                <w:p w:rsidR="00437816" w:rsidRDefault="00437816" w:rsidP="00437816">
                  <w:pPr>
                    <w:pStyle w:val="af"/>
                    <w:numPr>
                      <w:ilvl w:val="0"/>
                      <w:numId w:val="1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госзаказчик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отклонил заявку участника, поскольку для ряда позиций он привел параметры продукции без товарных знаков. Контролеры с этим не согласились;</w:t>
                  </w:r>
                </w:p>
                <w:p w:rsidR="00437816" w:rsidRDefault="00437816" w:rsidP="00437816">
                  <w:pPr>
                    <w:pStyle w:val="af"/>
                    <w:numPr>
                      <w:ilvl w:val="0"/>
                      <w:numId w:val="1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участникам закупки по Закону N 223-ФЗ среди СМСП следовало представить в заявке график выполнения работ. Контролеры нашли нарушение;</w:t>
                  </w:r>
                </w:p>
                <w:p w:rsidR="00437816" w:rsidRDefault="00437816" w:rsidP="00437816">
                  <w:pPr>
                    <w:pStyle w:val="af"/>
                    <w:numPr>
                      <w:ilvl w:val="0"/>
                      <w:numId w:val="1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по условиям закупки до подведения ее итогов заказчик мог требовать от участников, чтобы те разъяснили заявки и представили недостающие документы. Контролеры отметили: Закон N 223-ФЗ не разрешает дополнять и уточнять заявки после окончания срока их подачи.</w:t>
                  </w:r>
                </w:p>
                <w:p w:rsidR="00437816" w:rsidRPr="00437816" w:rsidRDefault="00437816" w:rsidP="00437816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37816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437816" w:rsidRPr="00437816" w:rsidRDefault="001F0037" w:rsidP="00437816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  <w:hyperlink r:id="rId13" w:history="1">
                    <w:r w:rsidR="00437816" w:rsidRPr="0043781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«Обзоры практики ФАС за февраль 2024 года: частые ошибки заказчиков по законам N 44-ФЗ и 223-ФЗ»</w:t>
                    </w:r>
                  </w:hyperlink>
                </w:p>
                <w:p w:rsidR="00BB1EBA" w:rsidRPr="0071400B" w:rsidRDefault="00BB1EBA" w:rsidP="00BB1EBA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55114" w:rsidRPr="000E5FED" w:rsidRDefault="00455114" w:rsidP="00455114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DC486F" w:rsidRDefault="001F0037" w:rsidP="00455114">
      <w:pPr>
        <w:tabs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rect id="_x0000_s1481" style="position:absolute;margin-left:18.7pt;margin-top:354.45pt;width:138.15pt;height:186.25pt;z-index:-25134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81" inset="0,0,0,0">
              <w:txbxContent>
                <w:p w:rsidR="00455114" w:rsidRDefault="00455114" w:rsidP="0043781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437816" w:rsidRDefault="00437816" w:rsidP="0043781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Основные документы: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hyperlink r:id="rId14" w:history="1">
                    <w:r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Обзор судебной практики по Закону N 44-ФЗ февраль 2024 года</w:t>
                    </w:r>
                  </w:hyperlink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  <w:hyperlink r:id="rId15" w:history="1">
                    <w:r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Обзор практики рассмотрения жалоб при закупках по Закону N 44-ФЗ февраль 2024 года</w:t>
                    </w:r>
                  </w:hyperlink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  <w:hyperlink r:id="rId16" w:history="1">
                    <w:r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Обзор практики рассмотрения жалоб при закупках по Закону N 223-ФЗ февраль 2024 года</w:t>
                    </w:r>
                  </w:hyperlink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  <w:hyperlink r:id="rId17" w:history="1">
                    <w:r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Обзор административной практики в сфере закупок по Закону N 223-ФЗ февраль 2024 года</w:t>
                    </w:r>
                  </w:hyperlink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  <w:hyperlink r:id="rId18" w:history="1">
                    <w:r>
                      <w:rPr>
                        <w:rStyle w:val="aa"/>
                        <w:rFonts w:ascii="Century Gothic" w:hAnsi="Century Gothic"/>
                        <w:iCs/>
                        <w:sz w:val="16"/>
                        <w:szCs w:val="16"/>
                      </w:rPr>
                      <w:t>Обзор судебной практики в сфере закупок по Закону N 223-ФЗ февраль 2024 года</w:t>
                    </w:r>
                  </w:hyperlink>
                </w:p>
                <w:p w:rsidR="00437816" w:rsidRDefault="00437816" w:rsidP="00437816">
                  <w:pPr>
                    <w:shd w:val="clear" w:color="auto" w:fill="FFFFFF" w:themeFill="background1"/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55114" w:rsidRPr="004366EC" w:rsidRDefault="00455114" w:rsidP="0043781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  <w:r w:rsidR="00455114"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EE6AE5" w:rsidRPr="00324743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1F0037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</w:rPr>
        <w:pict>
          <v:shape id="_x0000_s1484" type="#_x0000_t202" style="position:absolute;margin-left:206.4pt;margin-top:562.85pt;width:365.4pt;height:25.85pt;z-index:25197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84" inset="0,0,0,0">
              <w:txbxContent>
                <w:p w:rsidR="00437816" w:rsidRDefault="00437816" w:rsidP="00437816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НАРУШЕНИЯ ПРИ ОБСЛУЖИВАНИИ ГАЗОВОГО ОБОРУДОВАНИЯ: ШТРАФЫ УВЕЛИЧАТСЯ С 17 АПРЕЛЯ 2024 Г.</w:t>
                  </w:r>
                </w:p>
                <w:p w:rsidR="00437816" w:rsidRPr="00EE6AE5" w:rsidRDefault="00437816" w:rsidP="00437816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83" type="#_x0000_t32" style="position:absolute;margin-left:-1.6pt;margin-top:9.3pt;width:548.2pt;height:.05pt;z-index:251974656" o:connectortype="straight"/>
        </w:pict>
      </w:r>
    </w:p>
    <w:p w:rsidR="00783CDD" w:rsidRDefault="001F0037" w:rsidP="001C23BE">
      <w:pPr>
        <w:spacing w:after="0" w:line="240" w:lineRule="auto"/>
        <w:rPr>
          <w:rFonts w:ascii="Century Gothic" w:hAnsi="Century Gothic" w:cs="Century Gothic"/>
        </w:rPr>
      </w:pPr>
      <w:r>
        <w:rPr>
          <w:noProof/>
        </w:rPr>
        <w:pict>
          <v:shape id="_x0000_s1486" type="#_x0000_t202" style="position:absolute;margin-left:18.2pt;margin-top:571.2pt;width:143.55pt;height:74.5pt;z-index:25197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6" inset=",0,,0">
              <w:txbxContent>
                <w:p w:rsidR="00437816" w:rsidRDefault="00437816" w:rsidP="00437816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437816" w:rsidRDefault="00437816" w:rsidP="00437816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Юристу,</w:t>
                  </w:r>
                </w:p>
                <w:p w:rsidR="00437816" w:rsidRPr="00A56B9E" w:rsidRDefault="00437816" w:rsidP="00437816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Руководителю</w:t>
                  </w:r>
                </w:p>
                <w:p w:rsidR="00437816" w:rsidRPr="00A56B9E" w:rsidRDefault="00437816" w:rsidP="00437816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437816" w:rsidRPr="00A56B9E" w:rsidRDefault="00437816" w:rsidP="00437816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437816" w:rsidRPr="00C066C7" w:rsidRDefault="00437816" w:rsidP="00437816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D5798E" w:rsidRPr="00783CDD" w:rsidRDefault="001F0037" w:rsidP="00A603C5">
      <w:pPr>
        <w:pStyle w:val="1"/>
        <w:tabs>
          <w:tab w:val="left" w:pos="284"/>
        </w:tabs>
        <w:jc w:val="center"/>
      </w:pPr>
      <w:r>
        <w:rPr>
          <w:noProof/>
        </w:rPr>
        <w:pict>
          <v:rect id="_x0000_s1487" style="position:absolute;left:0;text-align:left;margin-left:16.8pt;margin-top:661.15pt;width:138.15pt;height:88.85pt;z-index:-25133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87" inset="0,0,0,0">
              <w:txbxContent>
                <w:p w:rsidR="00437816" w:rsidRDefault="00437816" w:rsidP="0043781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437816" w:rsidRDefault="00437816" w:rsidP="001F003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Основные документы: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  <w:hyperlink r:id="rId19" w:history="1">
                    <w:r w:rsidR="00DF41D3" w:rsidRPr="0021700C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 закон от 06.04.2024 N 77-ФЗ</w:t>
                    </w:r>
                  </w:hyperlink>
                  <w:bookmarkStart w:id="0" w:name="_GoBack"/>
                  <w:bookmarkEnd w:id="0"/>
                </w:p>
                <w:p w:rsidR="00437816" w:rsidRDefault="00437816" w:rsidP="00437816">
                  <w:pPr>
                    <w:shd w:val="clear" w:color="auto" w:fill="FFFFFF" w:themeFill="background1"/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37816" w:rsidRPr="004366EC" w:rsidRDefault="00437816" w:rsidP="0043781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485" type="#_x0000_t202" style="position:absolute;left:0;text-align:left;margin-left:175.9pt;margin-top:601.65pt;width:402.7pt;height:219.35pt;z-index:25197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85" inset="0,0,,0">
              <w:txbxContent>
                <w:p w:rsidR="00437816" w:rsidRDefault="00437816" w:rsidP="0043781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EE495E" w:rsidRDefault="00EE495E" w:rsidP="00EE495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Усилена административная ответственность за нарушение правил обслуживания внутридомового и внутриквартирного газового оборудования.</w:t>
                  </w:r>
                </w:p>
                <w:p w:rsidR="00437816" w:rsidRPr="00EC73FF" w:rsidRDefault="00437816" w:rsidP="00EE495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EE495E" w:rsidRDefault="00EE495E" w:rsidP="00EE495E">
                  <w:pPr>
                    <w:pStyle w:val="af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за несоблюдение требований к качеству, сроку и периодичности техобслуживания и ремонта внутридомового либо внутриквартирного газового оборудования станут штрафовать должностных лиц на сумму от 25 тыс. до 100 тыс. руб., организации – от 200 тыс. до 500 тыс. руб. Пока для должностных лиц штраф составляет от 5 тыс. до 20 тыс. руб., а для организаций – от 40 тыс. до 100 тыс. руб.;</w:t>
                  </w:r>
                </w:p>
                <w:p w:rsidR="00EE495E" w:rsidRDefault="00EE495E" w:rsidP="00EE495E">
                  <w:pPr>
                    <w:pStyle w:val="af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аналогично повысили штрафы, в частности, для тех, кто:</w:t>
                  </w:r>
                </w:p>
                <w:p w:rsidR="00EE495E" w:rsidRDefault="00EE495E" w:rsidP="00EE495E">
                  <w:pPr>
                    <w:pStyle w:val="af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не выполнил работы, не оказал услуги из минимального перечня;</w:t>
                  </w:r>
                </w:p>
                <w:p w:rsidR="00EE495E" w:rsidRDefault="00EE495E" w:rsidP="00EE495E">
                  <w:pPr>
                    <w:pStyle w:val="af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уклонился от заключения договора о техобслуживании и ремонте внутридомового газового оборудования в многоквартирном доме. Речь идет о случаях, когда нужно заключить такое соглашение;</w:t>
                  </w:r>
                </w:p>
                <w:p w:rsidR="00EE495E" w:rsidRDefault="00EE495E" w:rsidP="00EE495E">
                  <w:pPr>
                    <w:pStyle w:val="af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не допустил (вопреки правилам) представителя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спецорганизации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для техобслуживания и ремонта оборудования либо для приостановки подачи газа.</w:t>
                  </w:r>
                </w:p>
                <w:p w:rsidR="00EE495E" w:rsidRDefault="00EE495E" w:rsidP="00EE495E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37816" w:rsidRPr="000E5FED" w:rsidRDefault="00437816" w:rsidP="00437816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D5798E" w:rsidRPr="00783CDD" w:rsidSect="00910D17">
      <w:headerReference w:type="default" r:id="rId20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0E" w:rsidRDefault="00FA010E" w:rsidP="00735E66">
      <w:pPr>
        <w:spacing w:after="0" w:line="240" w:lineRule="auto"/>
      </w:pPr>
      <w:r>
        <w:separator/>
      </w:r>
    </w:p>
  </w:endnote>
  <w:endnote w:type="continuationSeparator" w:id="0">
    <w:p w:rsidR="00FA010E" w:rsidRDefault="00FA010E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0E" w:rsidRDefault="00FA010E" w:rsidP="00735E66">
      <w:pPr>
        <w:spacing w:after="0" w:line="240" w:lineRule="auto"/>
      </w:pPr>
      <w:r>
        <w:separator/>
      </w:r>
    </w:p>
  </w:footnote>
  <w:footnote w:type="continuationSeparator" w:id="0">
    <w:p w:rsidR="00FA010E" w:rsidRDefault="00FA010E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89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5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  <w:num w:numId="13">
    <w:abstractNumId w:val="14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037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1548"/>
    <w:rsid w:val="007617F5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33F2D"/>
    <w:rsid w:val="00C35D7E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41D3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9"/>
    <o:shapelayout v:ext="edit">
      <o:idmap v:ext="edit" data="1"/>
      <o:rules v:ext="edit">
        <o:r id="V:Rule5" type="connector" idref="#_x0000_s1442"/>
        <o:r id="V:Rule6" type="connector" idref="#_x0000_s1477"/>
        <o:r id="V:Rule7" type="connector" idref="#_x0000_s1483"/>
        <o:r id="V:Rule8" type="connector" idref="#_x0000_s1467"/>
      </o:rules>
    </o:shapelayout>
  </w:shapeDefaults>
  <w:decimalSymbol w:val=","/>
  <w:listSeparator w:val=";"/>
  <w14:docId w14:val="44AA0EAF"/>
  <w15:docId w15:val="{7C5F5534-238A-4C65-ABED-AD29369A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BI&amp;n=265979" TargetMode="External"/><Relationship Id="rId13" Type="http://schemas.openxmlformats.org/officeDocument/2006/relationships/hyperlink" Target="https://login.consultant.ru/link/?req=doc&amp;base=LAW&amp;n=473858" TargetMode="External"/><Relationship Id="rId18" Type="http://schemas.openxmlformats.org/officeDocument/2006/relationships/hyperlink" Target="https://login.consultant.ru/link/?req=doc&amp;base=CJI&amp;n=15328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3898" TargetMode="External"/><Relationship Id="rId12" Type="http://schemas.openxmlformats.org/officeDocument/2006/relationships/hyperlink" Target="https://login.consultant.ru/link/?req=doc&amp;base=LAW&amp;n=473948" TargetMode="External"/><Relationship Id="rId17" Type="http://schemas.openxmlformats.org/officeDocument/2006/relationships/hyperlink" Target="https://login.consultant.ru/link/?req=doc&amp;base=CJI&amp;n=1532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CJI&amp;n=15328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PBI&amp;n=2486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CJI&amp;n=153283" TargetMode="External"/><Relationship Id="rId10" Type="http://schemas.openxmlformats.org/officeDocument/2006/relationships/hyperlink" Target="https://login.consultant.ru/link/?req=doc&amp;base=LAW&amp;n=473935" TargetMode="External"/><Relationship Id="rId19" Type="http://schemas.openxmlformats.org/officeDocument/2006/relationships/hyperlink" Target="https://login.consultant.ru/link/?req=doc&amp;base=LAW&amp;n=4739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222" TargetMode="External"/><Relationship Id="rId14" Type="http://schemas.openxmlformats.org/officeDocument/2006/relationships/hyperlink" Target="https://login.consultant.ru/link/?req=doc&amp;base=CJI&amp;n=15328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Ващенкова АА</cp:lastModifiedBy>
  <cp:revision>5</cp:revision>
  <cp:lastPrinted>2024-04-15T02:01:00Z</cp:lastPrinted>
  <dcterms:created xsi:type="dcterms:W3CDTF">2024-04-14T13:16:00Z</dcterms:created>
  <dcterms:modified xsi:type="dcterms:W3CDTF">2024-04-15T02:19:00Z</dcterms:modified>
</cp:coreProperties>
</file>