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446F15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2E4A49" w:rsidRPr="003A1351" w:rsidRDefault="002E4A49" w:rsidP="002E4A4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3A1351"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  <w:t>ВЫХОДНЫЕ ПО УХОДУ ЗА РЕБЕНКОМ-ИНВАЛИДОМ: С 26 АПРЕЛЯ ЗАЯВЛЕНИЕ О ВОЗМЕЩЕНИИ ПОДАЮТ ПО НОВОЙ ФОРМЕ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7B80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  <w:p w:rsidR="00C35D7E" w:rsidRDefault="002C701F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446F15" w:rsidP="005D55D8">
      <w:pPr>
        <w:ind w:left="-142"/>
        <w:rPr>
          <w:i/>
        </w:rPr>
      </w:pPr>
      <w:r w:rsidRPr="00446F15">
        <w:rPr>
          <w:noProof/>
          <w:lang w:eastAsia="ru-RU"/>
        </w:rPr>
        <w:pict>
          <v:shape id="Text Box 14" o:spid="_x0000_s1030" type="#_x0000_t202" style="position:absolute;left:0;text-align:left;margin-left:169.1pt;margin-top:77.55pt;width:410.8pt;height:195.2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СФР утвердил форму заявления, которое страхователь подает для возмещения расходов на оплату дополнительных выходных. Приказ вступит в силу 26 апреля. Действующая форма ФСС утратит силу.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bCs/>
                      <w:sz w:val="19"/>
                      <w:szCs w:val="19"/>
                    </w:rPr>
                  </w:pPr>
                </w:p>
                <w:p w:rsidR="00047B80" w:rsidRPr="00047B80" w:rsidRDefault="00047B80" w:rsidP="00047B8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7B8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организации смогут подготовиться к использованию новой формы.</w:t>
                  </w: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добавили поля, в которых надо указывать сведения о справке, подтверждающей инвалидность ребенка, данные приказов о предоставлении дополнительных выходных, а также периоды, за которые использовали такие выходные;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предусмотрели возможность отражать до 24 накопленных дополнительных выходных;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из раздела со сведениями о страхователе исключили поле «Код подчиненности» и добавили поля, где нужно указывать Ф.И.О. руководителя и его должность.</w:t>
                  </w:r>
                </w:p>
                <w:p w:rsidR="00A228D9" w:rsidRPr="00047B80" w:rsidRDefault="00A228D9" w:rsidP="002E4A49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pacing w:val="-4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446F15" w:rsidP="00735E66">
      <w:pPr>
        <w:rPr>
          <w:rFonts w:ascii="Century Gothic" w:hAnsi="Century Gothic"/>
          <w:b/>
          <w:i/>
          <w:sz w:val="16"/>
          <w:szCs w:val="16"/>
        </w:rPr>
      </w:pPr>
      <w:r w:rsidRPr="00446F15">
        <w:rPr>
          <w:i/>
          <w:noProof/>
          <w:lang w:eastAsia="ru-RU"/>
        </w:rPr>
        <w:pict>
          <v:rect id="Rectangle 336" o:spid="_x0000_s1028" style="position:absolute;margin-left:24.1pt;margin-top:125.45pt;width:124.95pt;height:71.1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42681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2E4A49" w:rsidRDefault="002E4A49" w:rsidP="0042681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E4A49" w:rsidRPr="003A1351" w:rsidRDefault="002E4A49" w:rsidP="0042681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hyperlink r:id="rId7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Приказ С</w:t>
                    </w:r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Ф</w:t>
                    </w:r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Р от 16.01.2024 N 28</w:t>
                    </w:r>
                  </w:hyperlink>
                </w:p>
                <w:p w:rsidR="00047B80" w:rsidRDefault="00047B80" w:rsidP="0042681B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2E4A49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446F1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83.65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7B80" w:rsidRDefault="00512E02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047B80">
                    <w:rPr>
                      <w:b/>
                      <w:color w:val="FFFFFF"/>
                      <w:sz w:val="24"/>
                      <w:szCs w:val="24"/>
                    </w:rPr>
                    <w:t>коммерческому и бюджетному</w:t>
                  </w:r>
                </w:p>
                <w:p w:rsidR="00D6456E" w:rsidRDefault="00D6456E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6F15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279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2E4A49" w:rsidRPr="003A1351" w:rsidRDefault="002E4A49" w:rsidP="002E4A4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3A1351"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  <w:t>ВАЖНЫЕ ИЗМЕНЕНИЯ ДЛЯ БУХГАЛТЕРОВ В МАЕ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46F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1.25pt;margin-top:6.9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2E4A49" w:rsidP="00735E66">
      <w:pPr>
        <w:rPr>
          <w:b/>
        </w:rPr>
      </w:pPr>
      <w:r w:rsidRPr="00446F1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6.1pt;margin-top:301.35pt;width:408.8pt;height:208.2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bCs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Декларации (расчеты) нужно проверять по контрольным соотношениям, чтобы их вовремя учли в совокупной обязанности на ЕНС. Уведомление о невозможности подачи документов в срок необходимо направлять по обновленной форме. Об этих и других новшествах в обзоре, который подготовили эксперты </w:t>
                  </w:r>
                  <w:proofErr w:type="spellStart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.</w:t>
                  </w:r>
                </w:p>
                <w:p w:rsidR="002E4A49" w:rsidRDefault="002E4A49" w:rsidP="002E4A4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среди новых контрольных соотношений налоговых деклараций (расчетов), например, такое: любая из строк 030, 040 раздела 1, 060 раздела 2 &gt;= 0 (соотношение 1.1 для декларации по НДС);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в обновленную форму уведомления о невозможности подачи документов в срок добавили раздел для банков. Они будут сообщать налоговикам о том, что не могут направить документы (информацию) в 5-дневный срок; 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с 1 мая применяют формы, форматы и порядки заполнения заявлений: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об уведомлении налогоплательщика о том, что гаранта освободили от обязательств по банковской гарантии;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 заявительном порядке возмещения НДС (акциза);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 замене банковской гарантии или договора поручительства.</w:t>
                  </w:r>
                </w:p>
                <w:p w:rsidR="007C7C3B" w:rsidRPr="00123574" w:rsidRDefault="007C7C3B" w:rsidP="00047B80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/>
    <w:p w:rsidR="00735E66" w:rsidRPr="007C4C53" w:rsidRDefault="00446F15" w:rsidP="00735E66">
      <w:pPr>
        <w:rPr>
          <w:rFonts w:ascii="Century Gothic" w:hAnsi="Century Gothic"/>
          <w:sz w:val="28"/>
          <w:szCs w:val="28"/>
        </w:rPr>
      </w:pPr>
      <w:r w:rsidRPr="00446F15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5in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047B8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2E4A4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hyperlink r:id="rId8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 xml:space="preserve">Обзор: «Налоги и </w:t>
                    </w:r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о</w:t>
                    </w:r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тчетность в мае 2024 года: основные изменения»</w:t>
                    </w:r>
                  </w:hyperlink>
                </w:p>
                <w:p w:rsidR="00D6456E" w:rsidRPr="00595739" w:rsidRDefault="00D6456E" w:rsidP="002E4A4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E4A49" w:rsidP="00D24391">
      <w:pPr>
        <w:ind w:left="-142"/>
      </w:pPr>
      <w:r w:rsidRPr="00446F15">
        <w:rPr>
          <w:noProof/>
          <w:lang w:eastAsia="ru-RU"/>
        </w:rPr>
        <w:pict>
          <v:shape id="_x0000_s1468" type="#_x0000_t202" style="position:absolute;left:0;text-align:left;margin-left:16.25pt;margin-top:540.7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2E4A49" w:rsidRDefault="002E4A49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7B80" w:rsidRDefault="00047B80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бюджетному </w:t>
                  </w:r>
                </w:p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6F15">
        <w:rPr>
          <w:noProof/>
          <w:lang w:eastAsia="ru-RU"/>
        </w:rPr>
        <w:pict>
          <v:shape id="_x0000_s1469" type="#_x0000_t202" style="position:absolute;left:0;text-align:left;margin-left:196.35pt;margin-top:538.6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2E4A49" w:rsidRPr="003A1351" w:rsidRDefault="002E4A49" w:rsidP="002E4A4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3A1351"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  <w:t>С 21 АПРЕЛЯ НАДО ПРИМЕНЯТЬ ОБНОВЛЕННЫЕ ПЕРЕЧНИ КБК НА 2024 Г. И ПЛАНОВЫЙ ПЕРИОД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6F15">
        <w:rPr>
          <w:noProof/>
          <w:lang w:eastAsia="ru-RU"/>
        </w:rPr>
        <w:pict>
          <v:shape id="_x0000_s1467" type="#_x0000_t32" style="position:absolute;left:0;text-align:left;margin-left:-3.75pt;margin-top:10.45pt;width:548.2pt;height:.05pt;z-index:251962368" o:connectortype="straight"/>
        </w:pict>
      </w:r>
    </w:p>
    <w:p w:rsidR="00E376E4" w:rsidRDefault="00E376E4" w:rsidP="00D24391">
      <w:pPr>
        <w:ind w:left="-142"/>
      </w:pPr>
    </w:p>
    <w:p w:rsidR="00E376E4" w:rsidRDefault="002E4A49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72.55pt;width:405.25pt;height:226.3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Изложены в новой редакции некоторые коды, в том числе предусмотренные для налоговых перечислений, а также, в частности, скорректирован перечень целевых статей и направлений расходов.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организации смогут применять обновленные коды КБК.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в основном </w:t>
                  </w:r>
                  <w:proofErr w:type="spellStart"/>
                  <w:proofErr w:type="gramStart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c</w:t>
                  </w:r>
                  <w:proofErr w:type="gramEnd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корректировали</w:t>
                  </w:r>
                  <w:proofErr w:type="spellEnd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 перечни целевых статей расходов федерального бюджета. Например, добавили код 01 2 01 5776F по субсидиям на капремонт </w:t>
                  </w:r>
                  <w:proofErr w:type="spellStart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медорганизаций</w:t>
                  </w:r>
                  <w:proofErr w:type="spellEnd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 и оснащение их </w:t>
                  </w:r>
                  <w:proofErr w:type="spellStart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медизделиями</w:t>
                  </w:r>
                  <w:proofErr w:type="spellEnd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 за счет резервного фонда правительства;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точечные правки внесли также в списки кодов доходов бюджетов.</w:t>
                  </w:r>
                </w:p>
                <w:p w:rsidR="00847888" w:rsidRDefault="00847888" w:rsidP="00047B80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2E4A49" w:rsidP="002679F0">
      <w:r>
        <w:rPr>
          <w:noProof/>
          <w:lang w:eastAsia="ru-RU"/>
        </w:rPr>
        <w:pict>
          <v:rect id="_x0000_s1475" style="position:absolute;margin-left:24.1pt;margin-top:620.3pt;width:126.15pt;height:90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2E4A4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2E4A4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hyperlink r:id="rId9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Приказ Минфина России от 04.03.2024 N 20н</w:t>
                    </w:r>
                  </w:hyperlink>
                </w:p>
                <w:p w:rsidR="00123574" w:rsidRPr="00007B0B" w:rsidRDefault="00123574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446F15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446F15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437816" w:rsidRDefault="00437816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7B80" w:rsidRDefault="00047B80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6F15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71.25pt;margin-top:36.7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2E4A49" w:rsidRPr="003A1351" w:rsidRDefault="002E4A49" w:rsidP="002E4A4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3A1351"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МИНТРУД: ЗА ПРОСТУПОК НА РАБОТЕ ПО ВНУТРЕННЕМУ СОВМЕСТИТЕЛЬСТВУ НЕЛЬЗЯ НАКАЗАТЬ ПО ОСНОВНОЙ СТАВКЕ</w:t>
                  </w:r>
                </w:p>
                <w:p w:rsidR="00437816" w:rsidRDefault="00437816" w:rsidP="0043781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446F15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446F15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5.75pt;width:410.8pt;height:176.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Ведомство рассмотрело ситуацию, когда сотрудник периодически опаздывал на работу по внутреннему совместительству, его наказали, а после лишили премий по двум ставкам. Минтруд отметил, что оплата определяется по каждой должности отдельно.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bCs/>
                      <w:sz w:val="19"/>
                      <w:szCs w:val="19"/>
                    </w:rPr>
                  </w:pPr>
                </w:p>
                <w:p w:rsidR="00BB1EBA" w:rsidRPr="00BB1EBA" w:rsidRDefault="00BB1EBA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организации узнают, как правильно поступать в подобной ситуации.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231B9A" w:rsidRPr="00231B9A" w:rsidRDefault="00231B9A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2E4A49" w:rsidRPr="003A1351" w:rsidRDefault="002E4A49" w:rsidP="002E4A4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организация может применить дисциплинарное взыскание только по той должности, по которой совершено нарушение.</w:t>
                  </w: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446F15" w:rsidP="00324743">
      <w:pPr>
        <w:rPr>
          <w:rFonts w:ascii="Century Gothic" w:hAnsi="Century Gothic" w:cs="Century Gothic"/>
          <w:sz w:val="28"/>
          <w:szCs w:val="28"/>
        </w:rPr>
      </w:pPr>
      <w:r w:rsidRPr="00446F15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94.15pt;width:121.05pt;height:123.2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E4A49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hyperlink r:id="rId10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Письмо Минтруда России от 02.04.2024 N 14-6/ООГ-1902</w:t>
                    </w:r>
                  </w:hyperlink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</w:pPr>
                  <w:r w:rsidRPr="003A1351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hyperlink r:id="rId11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Путеводитель по кадровым вопросам. Дисциплинарные взыскания. Замечание, выговор, увольнение</w:t>
                    </w:r>
                  </w:hyperlink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  <w:p w:rsidR="002C701F" w:rsidRPr="000E5FED" w:rsidRDefault="002C701F" w:rsidP="002E4A49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446F15" w:rsidP="00324743">
      <w:pPr>
        <w:rPr>
          <w:rFonts w:ascii="Century Gothic" w:hAnsi="Century Gothic" w:cs="Century Gothic"/>
          <w:sz w:val="28"/>
          <w:szCs w:val="28"/>
        </w:rPr>
      </w:pPr>
      <w:r w:rsidRPr="00446F15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11.85pt;margin-top:24.6pt;width:548.2pt;height:.05pt;z-index:251969536" o:connectortype="straight"/>
        </w:pict>
      </w:r>
    </w:p>
    <w:p w:rsidR="00324743" w:rsidRPr="00324743" w:rsidRDefault="00446F15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8.2pt;margin-top:246.35pt;width:143.55pt;height:103.8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Специалисту по закупкам (заказчикам и участникам по Закон</w:t>
                  </w:r>
                  <w:r w:rsidR="002E4A49">
                    <w:rPr>
                      <w:b/>
                      <w:color w:val="FFFFFF"/>
                      <w:sz w:val="26"/>
                      <w:szCs w:val="26"/>
                    </w:rPr>
                    <w:t>у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A56B9E" w:rsidRDefault="00455114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C066C7" w:rsidRDefault="00455114" w:rsidP="0045511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6F15"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2pt;margin-top:242.2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2E4A49" w:rsidRPr="003A1351" w:rsidRDefault="002E4A49" w:rsidP="002E4A4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3A1351"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МИНФИН: ПРИ ГОСЗАКУПКАХ БЕЗ ОБЕСПЕЧЕНИЯ КОНТРАКТА НЕ ПРИМЕНЯЮТ АНТИДЕМПИНГОВЫЕ МЕРЫ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455114" w:rsidRPr="00007B0B" w:rsidRDefault="00455114" w:rsidP="0045511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446F15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75.9pt;margin-top:278.3pt;width:406.15pt;height:202.1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bCs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Заключение контракта без применения антидемпинговых мер, когда это необходимо, равно как и применение указанных мер в случаях, не предусмотренных законом, может привести к штрафу. Ведомство рассмотрело исключение из правила о применении таких мер.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455114" w:rsidRPr="00EC73FF" w:rsidRDefault="00455114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2E4A49" w:rsidRDefault="002E4A49" w:rsidP="002E4A4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по мнению ведомства, при проведении конкурса или аукциона не применяют антидемпинговые меры, если заказчик воспользовался антикризисным правилом и не установил требование к обеспечению контракта. До 31 декабря 2024 г. заказчики вправе не требовать обеспечение контракта и гарантийных обязательств. Исключение – в контракте предусмотрели аванс, который не подлежит казначейскому сопровождению.</w:t>
                  </w:r>
                </w:p>
                <w:p w:rsidR="002E4A49" w:rsidRDefault="002E4A49" w:rsidP="002E4A4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</w:pPr>
                  <w:r w:rsidRPr="003A1351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 w:cstheme="minorHAnsi"/>
                      <w:spacing w:val="-4"/>
                      <w:sz w:val="16"/>
                      <w:szCs w:val="16"/>
                    </w:rPr>
                  </w:pPr>
                  <w:hyperlink r:id="rId12" w:history="1">
                    <w:r w:rsidRPr="003A1351">
                      <w:rPr>
                        <w:rStyle w:val="aa"/>
                        <w:rFonts w:ascii="Century Gothic" w:hAnsi="Century Gothic" w:cstheme="minorHAnsi"/>
                        <w:spacing w:val="-4"/>
                        <w:sz w:val="16"/>
                        <w:szCs w:val="16"/>
                      </w:rPr>
                      <w:t>Готовое решение: Как применять антидемпинговые меры при закупке по Закону N 44-ФЗ</w:t>
                    </w:r>
                  </w:hyperlink>
                </w:p>
                <w:p w:rsidR="00455114" w:rsidRPr="000E5FED" w:rsidRDefault="00455114" w:rsidP="0045511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455114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2E4A49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446F1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left:0;text-align:left;margin-left:18.7pt;margin-top:368.4pt;width:138.15pt;height:96.9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37816" w:rsidRDefault="00437816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Основные документы: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2E4A49" w:rsidRPr="003A1351" w:rsidRDefault="002E4A49" w:rsidP="002E4A4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hyperlink r:id="rId13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Письмо Минфина России от 21.03.2024 N 24-06-06/25415</w:t>
                    </w:r>
                  </w:hyperlink>
                </w:p>
                <w:p w:rsidR="002E4A49" w:rsidRDefault="002E4A49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</w:pPr>
                </w:p>
                <w:p w:rsidR="002E4A49" w:rsidRDefault="002E4A49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4366EC" w:rsidRDefault="00455114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E4A49" w:rsidP="002D547F">
      <w:pPr>
        <w:rPr>
          <w:rFonts w:ascii="Century Gothic" w:hAnsi="Century Gothic" w:cs="Century Gothic"/>
          <w:sz w:val="16"/>
          <w:szCs w:val="16"/>
        </w:rPr>
      </w:pPr>
      <w:r w:rsidRPr="00446F15">
        <w:rPr>
          <w:noProof/>
        </w:rPr>
        <w:pict>
          <v:shape id="_x0000_s1483" type="#_x0000_t32" style="position:absolute;margin-left:-1.6pt;margin-top:11.55pt;width:548.2pt;height:.05pt;z-index:251974656" o:connectortype="straight"/>
        </w:pict>
      </w:r>
    </w:p>
    <w:p w:rsidR="002D547F" w:rsidRPr="002D547F" w:rsidRDefault="002E4A49" w:rsidP="002D547F">
      <w:pPr>
        <w:rPr>
          <w:rFonts w:ascii="Century Gothic" w:hAnsi="Century Gothic" w:cs="Century Gothic"/>
          <w:sz w:val="16"/>
          <w:szCs w:val="16"/>
        </w:rPr>
      </w:pPr>
      <w:r w:rsidRPr="00446F15">
        <w:rPr>
          <w:noProof/>
        </w:rPr>
        <w:pict>
          <v:shape id="_x0000_s1486" type="#_x0000_t202" style="position:absolute;margin-left:16.8pt;margin-top:508.9pt;width:143.55pt;height:74.5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6" inset=",0,,0">
              <w:txbxContent>
                <w:p w:rsidR="00437816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37816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</w:t>
                  </w:r>
                </w:p>
                <w:p w:rsidR="00437816" w:rsidRPr="00A56B9E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Руководителю</w:t>
                  </w:r>
                </w:p>
                <w:p w:rsidR="00437816" w:rsidRPr="00A56B9E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37816" w:rsidRPr="00A56B9E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37816" w:rsidRPr="00C066C7" w:rsidRDefault="00437816" w:rsidP="0043781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6F15">
        <w:rPr>
          <w:noProof/>
        </w:rPr>
        <w:pict>
          <v:shape id="_x0000_s1484" type="#_x0000_t202" style="position:absolute;margin-left:206.4pt;margin-top:515.75pt;width:365.4pt;height:25.85pt;z-index:25197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4" inset="0,0,0,0">
              <w:txbxContent>
                <w:p w:rsidR="002E4A49" w:rsidRPr="003A1351" w:rsidRDefault="002E4A49" w:rsidP="002E4A4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3A1351">
                    <w:rPr>
                      <w:rFonts w:cstheme="minorHAnsi"/>
                      <w:color w:val="5F497A" w:themeColor="accent4" w:themeShade="BF"/>
                      <w:sz w:val="19"/>
                      <w:szCs w:val="19"/>
                      <w:u w:val="single"/>
                    </w:rPr>
                    <w:t>СОГЛАСИЕ НА ОБРАБОТКУ ПЕРСОНАЛЬНЫХ ДАННЫХ ДЛЯ ПЕРЕДАЧИ В СПЕЦСИСТЕМЫ: УТВЕРЖДЕНЫ НОВЫЕ ФОРМЫ</w:t>
                  </w:r>
                </w:p>
                <w:p w:rsidR="00437816" w:rsidRPr="00EE6AE5" w:rsidRDefault="00437816" w:rsidP="00437816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E4A49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pict>
          <v:shape id="_x0000_s1485" type="#_x0000_t202" style="position:absolute;margin-left:175.9pt;margin-top:558.75pt;width:402.7pt;height:188.85pt;z-index:25197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5" inset="0,0,,0">
              <w:txbxContent>
                <w:p w:rsidR="00437816" w:rsidRDefault="00437816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2E4A49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Ряд банков и прочих лиц, которые размещают личные сведения о гражданах в единой биометрической системе и ЕСИА, станут получать согласия по новым формам с 1 января 2025 г.</w:t>
                  </w:r>
                </w:p>
                <w:p w:rsidR="002E4A49" w:rsidRPr="003A1351" w:rsidRDefault="002E4A49" w:rsidP="002E4A4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theme="minorHAnsi"/>
                      <w:bCs/>
                      <w:sz w:val="19"/>
                      <w:szCs w:val="19"/>
                    </w:rPr>
                  </w:pPr>
                </w:p>
                <w:p w:rsidR="00437816" w:rsidRPr="00EC73FF" w:rsidRDefault="00437816" w:rsidP="00EE495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установили 2 формы. Различаются они в зависимости от способа, которым предоставляется согласие, – в электронном виде или на бумаге. Сейчас применяется один документ;</w:t>
                  </w:r>
                </w:p>
                <w:p w:rsidR="002E4A49" w:rsidRPr="003A1351" w:rsidRDefault="002E4A49" w:rsidP="002E4A49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в формах отвели место для информации о несовершеннолетних лицах, более детально определили, когда действие согласия прекращается. В бумажной версии эти сведения выделили в отдельные пункты, что </w:t>
                  </w:r>
                  <w:proofErr w:type="gramStart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>увеличило их общее число и за счет чего форма стала</w:t>
                  </w:r>
                  <w:proofErr w:type="gramEnd"/>
                  <w:r w:rsidRPr="003A1351">
                    <w:rPr>
                      <w:rFonts w:ascii="Century Gothic" w:hAnsi="Century Gothic" w:cstheme="minorHAnsi"/>
                      <w:sz w:val="19"/>
                      <w:szCs w:val="19"/>
                    </w:rPr>
                    <w:t xml:space="preserve"> объемнее.</w:t>
                  </w:r>
                </w:p>
                <w:p w:rsidR="00437816" w:rsidRPr="000E5FED" w:rsidRDefault="00437816" w:rsidP="00437816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446F15" w:rsidP="00A603C5">
      <w:pPr>
        <w:pStyle w:val="1"/>
        <w:tabs>
          <w:tab w:val="left" w:pos="284"/>
        </w:tabs>
        <w:jc w:val="center"/>
      </w:pPr>
      <w:r>
        <w:rPr>
          <w:noProof/>
        </w:rPr>
        <w:pict>
          <v:rect id="_x0000_s1487" style="position:absolute;left:0;text-align:left;margin-left:18.2pt;margin-top:598.15pt;width:138.15pt;height:88.85pt;z-index:-2513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7" inset="0,0,0,0">
              <w:txbxContent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2E4A49" w:rsidRDefault="00887092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 xml:space="preserve">Распоряжение Правительства РФ от </w:t>
                    </w:r>
                    <w:bookmarkStart w:id="0" w:name="_Hlk164261471"/>
                    <w:r w:rsidRPr="003A1351">
                      <w:rPr>
                        <w:rStyle w:val="aa"/>
                        <w:rFonts w:ascii="Century Gothic" w:hAnsi="Century Gothic" w:cstheme="minorHAnsi"/>
                        <w:sz w:val="16"/>
                        <w:szCs w:val="16"/>
                      </w:rPr>
                      <w:t>09.04.2024 N 856-р</w:t>
                    </w:r>
                    <w:bookmarkEnd w:id="0"/>
                  </w:hyperlink>
                </w:p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7816" w:rsidRPr="004366EC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DB" w:rsidRDefault="003F50DB" w:rsidP="00735E66">
      <w:pPr>
        <w:spacing w:after="0" w:line="240" w:lineRule="auto"/>
      </w:pPr>
      <w:r>
        <w:separator/>
      </w:r>
    </w:p>
  </w:endnote>
  <w:endnote w:type="continuationSeparator" w:id="0">
    <w:p w:rsidR="003F50DB" w:rsidRDefault="003F50DB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DB" w:rsidRDefault="003F50DB" w:rsidP="00735E66">
      <w:pPr>
        <w:spacing w:after="0" w:line="240" w:lineRule="auto"/>
      </w:pPr>
      <w:r>
        <w:separator/>
      </w:r>
    </w:p>
  </w:footnote>
  <w:footnote w:type="continuationSeparator" w:id="0">
    <w:p w:rsidR="003F50DB" w:rsidRDefault="003F50DB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555F"/>
    <w:multiLevelType w:val="hybridMultilevel"/>
    <w:tmpl w:val="DC5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5BBE"/>
    <w:multiLevelType w:val="hybridMultilevel"/>
    <w:tmpl w:val="94805CCE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446D7"/>
    <w:multiLevelType w:val="hybridMultilevel"/>
    <w:tmpl w:val="BE2C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04A53"/>
    <w:multiLevelType w:val="hybridMultilevel"/>
    <w:tmpl w:val="1D66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A5D8D"/>
    <w:multiLevelType w:val="hybridMultilevel"/>
    <w:tmpl w:val="4E9C07A4"/>
    <w:lvl w:ilvl="0" w:tplc="3F421A2E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7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1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47B80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4A49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0DB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681B"/>
    <w:rsid w:val="004277FD"/>
    <w:rsid w:val="00427CEE"/>
    <w:rsid w:val="0043039B"/>
    <w:rsid w:val="00432C71"/>
    <w:rsid w:val="00437816"/>
    <w:rsid w:val="004401F1"/>
    <w:rsid w:val="00442824"/>
    <w:rsid w:val="0044332A"/>
    <w:rsid w:val="00445643"/>
    <w:rsid w:val="00446F15"/>
    <w:rsid w:val="00450811"/>
    <w:rsid w:val="0045219E"/>
    <w:rsid w:val="0045363F"/>
    <w:rsid w:val="00455114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092"/>
    <w:rsid w:val="00887394"/>
    <w:rsid w:val="008905AB"/>
    <w:rsid w:val="00891871"/>
    <w:rsid w:val="00892D49"/>
    <w:rsid w:val="0089583A"/>
    <w:rsid w:val="00895A12"/>
    <w:rsid w:val="00897D94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495E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10E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  <o:rules v:ext="edit">
        <o:r id="V:Rule5" type="connector" idref="#_x0000_s1483"/>
        <o:r id="V:Rule6" type="connector" idref="#_x0000_s1477"/>
        <o:r id="V:Rule7" type="connector" idref="#_x0000_s1442"/>
        <o:r id="V:Rule8" type="connector" idref="#_x0000_s14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510" TargetMode="External"/><Relationship Id="rId13" Type="http://schemas.openxmlformats.org/officeDocument/2006/relationships/hyperlink" Target="https://login.consultant.ru/link/?req=doc&amp;base=QUEST&amp;n=222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592" TargetMode="External"/><Relationship Id="rId12" Type="http://schemas.openxmlformats.org/officeDocument/2006/relationships/hyperlink" Target="https://login.consultant.ru/link/?req=doc&amp;base=PKBO&amp;n=357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KV&amp;n=7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QUEST&amp;n=222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364" TargetMode="External"/><Relationship Id="rId14" Type="http://schemas.openxmlformats.org/officeDocument/2006/relationships/hyperlink" Target="https://login.consultant.ru/link/?req=doc&amp;base=LAW&amp;n=474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2024-04-21T15:37:00Z</dcterms:created>
  <dcterms:modified xsi:type="dcterms:W3CDTF">2024-04-21T16:06:00Z</dcterms:modified>
</cp:coreProperties>
</file>