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66" w:rsidRDefault="00BC6823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62.15pt;width:410.8pt;height:264.4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B153F" w:rsidRPr="00B6490A" w:rsidRDefault="000E4A1C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Компания арендовала у региона лесной участок для заготовки древесины. По договору ей можно было строить на участке лесную инфраструктуру, </w:t>
                  </w:r>
                  <w:proofErr w:type="gram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например</w:t>
                  </w:r>
                  <w:proofErr w:type="gram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дороги. Для этого она попросила разрешить ей бесплатно использовать общераспространенные полезные ископаемые, которые будут обнаружены на предоставленной территории. Минприроды субъекта РФ отказало. ВС РФ поддержал госорган.</w:t>
                  </w:r>
                </w:p>
                <w:p w:rsidR="00BB153F" w:rsidRPr="00BB153F" w:rsidRDefault="00BB153F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F7343" w:rsidRPr="00AA36B4" w:rsidRDefault="000E4A1C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организации узнают, какое решение может принять суд в подобной ситуации.</w:t>
                  </w:r>
                </w:p>
                <w:p w:rsidR="008A510C" w:rsidRDefault="008A510C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нельзя считать, что арендатор участка добывает на нем общераспространенные полезные ископаемые для личных нужд при следующих обстоятельствах: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ископаемые нужны, в частности, для строительства лесных дорог;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землю арендуют для ведения бизнеса;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затраты на выполнение обязательств арендатора учитывают в себестоимости продукции;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в договоре не указали право арендатора добывать общераспространенные полезные ископаемые для создания дорог;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арендная плата не включает цену </w:t>
                  </w:r>
                  <w:proofErr w:type="spell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госзапасов</w:t>
                  </w:r>
                  <w:proofErr w:type="spell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полезных ископаемых.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на участке нельзя без лицензии на право пользования недрами извлекать песок в объеме, который нужен для строительства лесных дорог.</w:t>
                  </w:r>
                </w:p>
                <w:p w:rsidR="005D1995" w:rsidRPr="00FE0CF5" w:rsidRDefault="005D1995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  <w:p w:rsidR="00C80256" w:rsidRDefault="00C80256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4.7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0E4A1C" w:rsidRDefault="000E4A1C" w:rsidP="000E4A1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>ВС РФ запретил арендатору лесного участка добывать без лицензии песок для строительства дорог</w:t>
                  </w: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55.8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1E3A13" w:rsidRDefault="001E3A13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D4EF0" w:rsidRDefault="000E4A1C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Юрис</w:t>
                  </w:r>
                  <w:r w:rsidR="001E3A13">
                    <w:rPr>
                      <w:b/>
                      <w:color w:val="FFFFFF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color w:val="FFFFFF"/>
                      <w:sz w:val="24"/>
                      <w:szCs w:val="24"/>
                    </w:rPr>
                    <w:t>у</w:t>
                  </w: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BC6823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  <w:r>
        <w:rPr>
          <w:i/>
          <w:noProof/>
          <w:lang w:eastAsia="ru-RU"/>
        </w:rPr>
        <w:pict>
          <v:rect id="Rectangle 336" o:spid="_x0000_s1028" style="position:absolute;margin-left:25.3pt;margin-top:99.5pt;width:124.95pt;height:63.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FE0CF5" w:rsidRDefault="00515423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BB153F" w:rsidRDefault="00BB153F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C6CE5" w:rsidRPr="008367FF" w:rsidRDefault="00BC6823" w:rsidP="00F2216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="000E4A1C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Определение ВС РФ от 26.04.2024 N 301-ЭС23-25529</w:t>
                    </w:r>
                  </w:hyperlink>
                </w:p>
                <w:p w:rsidR="00330E73" w:rsidRPr="00383126" w:rsidRDefault="00330E7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F7343" w:rsidRPr="00AA36B4" w:rsidRDefault="007F734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277FD" w:rsidRPr="00831684" w:rsidRDefault="004277FD" w:rsidP="007F7343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D26887" w:rsidRDefault="00735E66" w:rsidP="00735E66">
      <w:pPr>
        <w:rPr>
          <w:rFonts w:ascii="Century Gothic" w:hAnsi="Century Gothic"/>
          <w:b/>
          <w:i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F84193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>
        <w:tab/>
      </w:r>
      <w:r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BC6823" w:rsidP="00735E6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4.85pt;margin-top:19.7pt;width:548.2pt;height:.05pt;z-index:251951104" o:connectortype="straight"/>
        </w:pict>
      </w:r>
      <w:r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74.25pt;margin-top:336.45pt;width:394.25pt;height:31.4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DC6CE5" w:rsidRPr="009F64F3" w:rsidRDefault="00DC6CE5" w:rsidP="00DC6CE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Налог на прибыль и НДФЛ: </w:t>
                  </w:r>
                  <w:proofErr w:type="spellStart"/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>спецперечень</w:t>
                  </w:r>
                  <w:proofErr w:type="spellEnd"/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офшоров на 2024 – 2026 гг. опубликован</w:t>
                  </w:r>
                </w:p>
                <w:p w:rsidR="00330E73" w:rsidRPr="00383126" w:rsidRDefault="00330E73" w:rsidP="00330E73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20.95pt;margin-top:339.7pt;width:139.6pt;height:57.6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BB153F" w:rsidRDefault="00BB153F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657BD6" w:rsidRDefault="00657BD6" w:rsidP="00657BD6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D6456E" w:rsidRPr="00C066C7" w:rsidRDefault="00330E73" w:rsidP="0019436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</w:p>
              </w:txbxContent>
            </v:textbox>
            <w10:wrap anchorx="page" anchory="page"/>
          </v:shape>
        </w:pict>
      </w:r>
    </w:p>
    <w:p w:rsidR="00735E66" w:rsidRPr="007C4C53" w:rsidRDefault="00735E66" w:rsidP="00735E66">
      <w:pPr>
        <w:rPr>
          <w:rFonts w:ascii="Century Gothic" w:hAnsi="Century Gothic"/>
          <w:sz w:val="28"/>
          <w:szCs w:val="28"/>
        </w:rPr>
      </w:pPr>
    </w:p>
    <w:p w:rsidR="00A17171" w:rsidRDefault="00BC6823" w:rsidP="00735E66">
      <w:r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25pt;margin-top:375.7pt;width:408.8pt;height:175.3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30E73" w:rsidRPr="00383126" w:rsidRDefault="00DC6CE5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Минфин утвердил </w:t>
                  </w:r>
                  <w:proofErr w:type="spell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спецперечень</w:t>
                  </w:r>
                  <w:proofErr w:type="spell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государств и территорий. Приказ вступил в силу 27 апреля. Его действие распространили на отношения с 1 января 2024 г. Применять его нужно к налоговым периодам 2024 – 2026 гг. по налогу на прибыль и НДФЛ.</w:t>
                  </w:r>
                </w:p>
                <w:p w:rsidR="00BB153F" w:rsidRDefault="00BB153F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</w:t>
                  </w:r>
                  <w:r w:rsidRPr="00B6490A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ольза:</w:t>
                  </w:r>
                  <w:r w:rsidRPr="00B6490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</w:p>
                <w:p w:rsidR="00330E73" w:rsidRPr="00383126" w:rsidRDefault="00DC6CE5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учесть изменение для освобождения от налогообложения прибыли КИК и расчета налога по дивидендам.</w:t>
                  </w:r>
                </w:p>
                <w:p w:rsidR="00404432" w:rsidRDefault="00404432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DC6CE5" w:rsidRPr="009F64F3" w:rsidRDefault="00DC6CE5" w:rsidP="00E2075D">
                  <w:pPr>
                    <w:pStyle w:val="af"/>
                    <w:ind w:left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в списке 40 пунктов. Он в 2 с лишним раза меньше того, который Минфин утвердил в июне 2023 г. В новом списке нет, например, Австралии, Канады, Республики Кипр, Соединенного Королевства Великобритании и Северной Ирландии, США, Тайваня (Китай), Украины, Японии.</w:t>
                  </w:r>
                </w:p>
                <w:p w:rsidR="00F365FE" w:rsidRDefault="00F365FE" w:rsidP="00330E73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A17171" w:rsidRPr="00B127CE" w:rsidRDefault="00BC6823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  <w:r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5.4pt;margin-top:411.05pt;width:126.15pt;height:107.3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330E73" w:rsidRDefault="00330E73" w:rsidP="00330E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831684" w:rsidRDefault="00D6456E" w:rsidP="00330E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330E73" w:rsidRDefault="00330E7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C6CE5" w:rsidRDefault="00BC682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="00DC6CE5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Минфина России от 28.03.2024 N 35н</w:t>
                    </w:r>
                  </w:hyperlink>
                </w:p>
                <w:p w:rsidR="00330E73" w:rsidRDefault="00330E7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57BD6" w:rsidRPr="003512F3" w:rsidRDefault="00657BD6" w:rsidP="00330E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E376E4" w:rsidRDefault="00E376E4" w:rsidP="00D24391">
      <w:pPr>
        <w:ind w:left="-142"/>
      </w:pPr>
    </w:p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BC6823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-4.85pt;margin-top:20.35pt;width:548.2pt;height:.05pt;z-index:251962368" o:connectortype="straight"/>
        </w:pict>
      </w:r>
    </w:p>
    <w:p w:rsidR="00E376E4" w:rsidRDefault="00BC6823" w:rsidP="00D24391">
      <w:pPr>
        <w:ind w:left="-142"/>
      </w:pPr>
      <w:r>
        <w:rPr>
          <w:noProof/>
          <w:lang w:eastAsia="ru-RU"/>
        </w:rPr>
        <w:pict>
          <v:shape id="_x0000_s1469" type="#_x0000_t202" style="position:absolute;left:0;text-align:left;margin-left:183.9pt;margin-top:572.05pt;width:381.3pt;height:11.8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DC6CE5" w:rsidRPr="009F64F3" w:rsidRDefault="00DC6CE5" w:rsidP="00DC6CE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>Акцизы на алкоголь: ФНС уточнила, какие коды указывать в декларации</w:t>
                  </w: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8" type="#_x0000_t202" style="position:absolute;left:0;text-align:left;margin-left:16.25pt;margin-top:572.05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194360" w:rsidRDefault="00194360" w:rsidP="000D1DB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0D1DB6" w:rsidRDefault="00DC6CE5" w:rsidP="000D1DB6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Бухгалтеру коммерческому</w:t>
                  </w:r>
                </w:p>
                <w:p w:rsidR="00E964A1" w:rsidRDefault="00E964A1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70" type="#_x0000_t202" style="position:absolute;left:0;text-align:left;margin-left:173.8pt;margin-top:593pt;width:409.25pt;height:238.3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330E73" w:rsidRPr="00383126" w:rsidRDefault="00DC6CE5" w:rsidP="00E2075D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ФНС информирует об изменениях с 1 мая 2024 г. в заполнении налоговой декларации по акцизам на этиловый спирт, алкогольную и спиртосодержащую продукцию, сахаросодержащие напитки, а также на виноград.</w:t>
                  </w:r>
                </w:p>
                <w:p w:rsidR="001A4B0A" w:rsidRPr="001A4B0A" w:rsidRDefault="001A4B0A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512F3" w:rsidRDefault="00DC6CE5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при заполнении декларации по акцизам указать корректные коды.</w:t>
                  </w:r>
                </w:p>
                <w:p w:rsidR="00C85A30" w:rsidRDefault="00657BD6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DC6CE5" w:rsidRPr="009F64F3" w:rsidRDefault="00DC6CE5" w:rsidP="00E2075D">
                  <w:pPr>
                    <w:pStyle w:val="af"/>
                    <w:ind w:left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До изменения порядка заполнения декларации налоговики рекомендовали приводить такие коды видов подакцизных товаров:</w:t>
                  </w:r>
                </w:p>
                <w:p w:rsidR="00DC6CE5" w:rsidRPr="009F64F3" w:rsidRDefault="00DC6CE5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228 </w:t>
                  </w:r>
                  <w:r w:rsidRPr="009F64F3">
                    <w:rPr>
                      <w:sz w:val="19"/>
                      <w:szCs w:val="19"/>
                    </w:rPr>
                    <w:t>‒</w:t>
                  </w: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алкоголь с объемной долей этилового спирта с 9 до 18% включительно, кроме производимого из подакцизного винограда;</w:t>
                  </w:r>
                </w:p>
                <w:p w:rsidR="00DC6CE5" w:rsidRPr="009F64F3" w:rsidRDefault="00DC6CE5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229 </w:t>
                  </w:r>
                  <w:r w:rsidRPr="009F64F3">
                    <w:rPr>
                      <w:sz w:val="19"/>
                      <w:szCs w:val="19"/>
                    </w:rPr>
                    <w:t>‒</w:t>
                  </w: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алкоголь с объемной долей этилового спирта с 9 до 18% включительно, который произвели из подакцизного винограда;</w:t>
                  </w:r>
                </w:p>
                <w:p w:rsidR="00DC6CE5" w:rsidRPr="009F64F3" w:rsidRDefault="00DC6CE5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278 </w:t>
                  </w:r>
                  <w:r w:rsidRPr="009F64F3">
                    <w:rPr>
                      <w:sz w:val="19"/>
                      <w:szCs w:val="19"/>
                    </w:rPr>
                    <w:t>‒</w:t>
                  </w: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крепленое (ликерное) вино, крепленое вино наливом, кроме производимых из подакцизного винограда;</w:t>
                  </w:r>
                </w:p>
                <w:p w:rsidR="001A4B0A" w:rsidRPr="00DC6CE5" w:rsidRDefault="00DC6CE5" w:rsidP="00E2075D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279 </w:t>
                  </w:r>
                  <w:r w:rsidRPr="009F64F3">
                    <w:rPr>
                      <w:sz w:val="19"/>
                      <w:szCs w:val="19"/>
                    </w:rPr>
                    <w:t>‒</w:t>
                  </w: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крепленое (ликерное) вино, крепленое вино наливом, которые произвели из подакцизного винограда.</w:t>
                  </w:r>
                </w:p>
              </w:txbxContent>
            </v:textbox>
            <w10:wrap anchorx="page" anchory="page"/>
          </v:shape>
        </w:pict>
      </w:r>
    </w:p>
    <w:p w:rsidR="00E376E4" w:rsidRDefault="00E376E4" w:rsidP="00EA6F15">
      <w:pPr>
        <w:jc w:val="both"/>
      </w:pPr>
    </w:p>
    <w:p w:rsidR="00CF4F22" w:rsidRDefault="00BC6823" w:rsidP="002679F0">
      <w:r>
        <w:rPr>
          <w:noProof/>
          <w:lang w:eastAsia="ru-RU"/>
        </w:rPr>
        <w:pict>
          <v:rect id="_x0000_s1475" style="position:absolute;margin-left:25.3pt;margin-top:641.45pt;width:124.95pt;height:91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330E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F2216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DC6CE5" w:rsidRPr="008367FF" w:rsidRDefault="00BC6823" w:rsidP="00F2216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="00DC6CE5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России от 24.04.2024 N СД-4-3/4915@</w:t>
                    </w:r>
                  </w:hyperlink>
                </w:p>
                <w:p w:rsidR="00330E73" w:rsidRPr="00383126" w:rsidRDefault="00330E7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432C71" w:rsidRPr="003512F3" w:rsidRDefault="00432C71" w:rsidP="00330E73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E376E4" w:rsidRDefault="00E376E4" w:rsidP="002679F0"/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BC6823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hAnsi="Century Gothic" w:cs="Century Gothic"/>
          <w:noProof/>
          <w:szCs w:val="22"/>
          <w:lang w:eastAsia="en-US"/>
        </w:rPr>
        <w:lastRenderedPageBreak/>
        <w:pict>
          <v:shape id="_x0000_s1396" type="#_x0000_t202" style="position:absolute;margin-left:169.2pt;margin-top:56.3pt;width:406.75pt;height:194.4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BB153F" w:rsidRDefault="00DC6CE5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Некоторые строки проверочных листов признаны утратившими силу либо изложены в новой редакции. Кроме того, дополнительные строки включены в список контрольных вопросов по проверке соблюдения общих требований по установлению режима и продолжительности рабочего времени. Документ начнет действовать 14 мая.</w:t>
                  </w:r>
                </w:p>
                <w:p w:rsidR="00330E73" w:rsidRPr="001A4B0A" w:rsidRDefault="00330E73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330E73" w:rsidRPr="00B6490A" w:rsidRDefault="00DC6CE5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организации могут сами проверить, соблюдают ли они обязательные требования.</w:t>
                  </w:r>
                </w:p>
                <w:p w:rsidR="00231B9A" w:rsidRPr="00381496" w:rsidRDefault="00231B9A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DC6CE5" w:rsidRPr="009F64F3" w:rsidRDefault="00DC6CE5" w:rsidP="00E2075D">
                  <w:pPr>
                    <w:pStyle w:val="af"/>
                    <w:ind w:left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Изменения затронули в том числе чек-листы, по которым поверяют, правильно ли организация:</w:t>
                  </w:r>
                </w:p>
                <w:p w:rsidR="00DC6CE5" w:rsidRPr="009F64F3" w:rsidRDefault="00DC6CE5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устанавливает режим и продолжительность работы;</w:t>
                  </w:r>
                </w:p>
                <w:p w:rsidR="00DC6CE5" w:rsidRPr="009F64F3" w:rsidRDefault="00DC6CE5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предоставляет время отдыха;</w:t>
                  </w:r>
                </w:p>
                <w:p w:rsidR="00DC6CE5" w:rsidRPr="009F64F3" w:rsidRDefault="00DC6CE5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соблюдает требования к регулированию труда женщин и лиц с семейными обязанностями;</w:t>
                  </w:r>
                </w:p>
                <w:p w:rsidR="001A4B0A" w:rsidRPr="006B2B12" w:rsidRDefault="00DC6CE5" w:rsidP="00E2075D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учитывает особенности дистанционной работы.</w:t>
                  </w: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BB153F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A90B8E" w:rsidRDefault="00BB153F" w:rsidP="00A90B8E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Руководителю</w:t>
                  </w:r>
                  <w:r w:rsidR="00DC6CE5">
                    <w:rPr>
                      <w:b/>
                      <w:color w:val="FFFFFF"/>
                      <w:sz w:val="26"/>
                      <w:szCs w:val="26"/>
                    </w:rPr>
                    <w:t>, кадровику</w:t>
                  </w:r>
                </w:p>
                <w:p w:rsidR="00980C5A" w:rsidRDefault="00980C5A" w:rsidP="000F2CB8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 w:rsidR="000F2CB8" w:rsidRPr="00C066C7" w:rsidRDefault="000F2CB8" w:rsidP="000F2CB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Cs w:val="22"/>
        </w:rPr>
        <w:pict>
          <v:shape id="_x0000_s1393" type="#_x0000_t202" style="position:absolute;margin-left:169.2pt;margin-top:36.7pt;width:412.85pt;height:27.15pt;z-index:25192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393" inset="0,0,0,0">
              <w:txbxContent>
                <w:p w:rsidR="00DC6CE5" w:rsidRPr="009F64F3" w:rsidRDefault="00DC6CE5" w:rsidP="00DC6CE5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proofErr w:type="spellStart"/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>Роструд</w:t>
                  </w:r>
                  <w:proofErr w:type="spellEnd"/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скорректировал чек-листы для проверок работодателей</w:t>
                  </w:r>
                </w:p>
                <w:p w:rsidR="00BB153F" w:rsidRPr="00B6490A" w:rsidRDefault="00BB153F" w:rsidP="00BB153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71132" w:rsidRPr="00433B78" w:rsidRDefault="00B71132" w:rsidP="00B71132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231B9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85E09" w:rsidRPr="00511483" w:rsidRDefault="00E85E09" w:rsidP="00E85E0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CB8" w:rsidRPr="00317DB3" w:rsidRDefault="000F2CB8" w:rsidP="000F2CB8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C27396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>
        <w:tab/>
      </w:r>
    </w:p>
    <w:p w:rsidR="00324743" w:rsidRPr="00324743" w:rsidRDefault="00BC6823" w:rsidP="00324743">
      <w:pPr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3.35pt;margin-top:120.45pt;width:121.05pt;height:119.7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330E73" w:rsidRDefault="00BC6823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r w:rsidR="00DC6CE5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Приказ </w:t>
                    </w:r>
                    <w:proofErr w:type="spellStart"/>
                    <w:r w:rsidR="00DC6CE5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Роструда</w:t>
                    </w:r>
                    <w:proofErr w:type="spellEnd"/>
                    <w:r w:rsidR="00DC6CE5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от 16.02.2024 N 31</w:t>
                    </w:r>
                  </w:hyperlink>
                </w:p>
                <w:p w:rsidR="00DC6CE5" w:rsidRDefault="00DC6CE5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C6CE5" w:rsidRPr="000E4A1C" w:rsidRDefault="00DC6CE5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 w:rsidRPr="000E4A1C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Дополнительные материалы:</w:t>
                  </w:r>
                </w:p>
                <w:p w:rsidR="000E4A1C" w:rsidRPr="00DC6CE5" w:rsidRDefault="000E4A1C" w:rsidP="00F2216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DC6CE5" w:rsidRPr="004D7D4A" w:rsidRDefault="00BC6823" w:rsidP="00F2216D">
                  <w:pPr>
                    <w:shd w:val="clear" w:color="auto" w:fill="FFFFFF" w:themeFill="background1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1" w:history="1">
                    <w:r w:rsidR="00DC6CE5" w:rsidRPr="004D7D4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Готовое решение: Что работодателю нужно знать о проверочных листах </w:t>
                    </w:r>
                    <w:proofErr w:type="spellStart"/>
                    <w:r w:rsidR="00DC6CE5" w:rsidRPr="004D7D4A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Роструда</w:t>
                    </w:r>
                    <w:proofErr w:type="spellEnd"/>
                  </w:hyperlink>
                </w:p>
                <w:p w:rsidR="00DC6CE5" w:rsidRDefault="00DC6CE5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DC6CE5" w:rsidRPr="00383126" w:rsidRDefault="00DC6CE5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BC6823" w:rsidP="00324743">
      <w:pPr>
        <w:rPr>
          <w:rFonts w:ascii="Century Gothic" w:hAnsi="Century Gothic" w:cs="Century Gothic"/>
          <w:sz w:val="28"/>
          <w:szCs w:val="28"/>
        </w:rPr>
      </w:pPr>
      <w:r>
        <w:rPr>
          <w:noProof/>
        </w:rPr>
        <w:pict>
          <v:shape id="_x0000_s1432" type="#_x0000_t202" style="position:absolute;margin-left:18.2pt;margin-top:275.55pt;width:136.75pt;height:88.4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Закону N </w:t>
                  </w:r>
                  <w:r w:rsidR="007F7343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-ФЗ)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_x0000_s1480" type="#_x0000_t202" style="position:absolute;margin-left:179.4pt;margin-top:262.45pt;width:406.75pt;height:30.75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0E4A1C" w:rsidRPr="009F64F3" w:rsidRDefault="000E4A1C" w:rsidP="000E4A1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Суды не увидели дробления </w:t>
                  </w:r>
                  <w:proofErr w:type="spellStart"/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>госзакупки</w:t>
                  </w:r>
                  <w:proofErr w:type="spellEnd"/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в нескольких похожих сделках с единственным поставщиком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4" type="#_x0000_t32" style="position:absolute;margin-left:-17.25pt;margin-top:14.65pt;width:548.2pt;height:.05pt;z-index:251975680" o:connectortype="straight"/>
        </w:pict>
      </w:r>
    </w:p>
    <w:p w:rsidR="00324743" w:rsidRPr="00324743" w:rsidRDefault="00BC6823" w:rsidP="00324743">
      <w:pPr>
        <w:rPr>
          <w:rFonts w:ascii="Century Gothic" w:hAnsi="Century Gothic" w:cs="Century Gothic"/>
          <w:sz w:val="28"/>
          <w:szCs w:val="28"/>
        </w:rPr>
      </w:pPr>
      <w:r>
        <w:rPr>
          <w:noProof/>
        </w:rPr>
        <w:pict>
          <v:shape id="_x0000_s1407" type="#_x0000_t202" style="position:absolute;margin-left:171.25pt;margin-top:287.35pt;width:402.65pt;height:343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F365FE" w:rsidRDefault="000E4A1C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Прокурор потребовал признать недействительными 3 контракта на поставку инструментов, которые колледж заключил с единственным поставщиком. В поведении заказчика увидели дробление закупки с целью ухода от конкурентных процедур. Три инстанции с прокурором не согласились.</w:t>
                  </w:r>
                </w:p>
                <w:p w:rsidR="001A4B0A" w:rsidRPr="001A4B0A" w:rsidRDefault="001A4B0A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F7343" w:rsidRPr="00AA36B4" w:rsidRDefault="000E4A1C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организации в подобной ситуации могут воспользоваться аргументами судов.</w:t>
                  </w:r>
                </w:p>
                <w:p w:rsidR="00EA5F70" w:rsidRDefault="00ED7F50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</w:t>
                  </w:r>
                  <w:proofErr w:type="gramStart"/>
                  <w:r w:rsidRPr="006A7CE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узнать:</w:t>
                  </w:r>
                  <w:r w:rsidR="00EA5F70" w:rsidRPr="00C33880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0E4A1C" w:rsidRPr="009F64F3" w:rsidRDefault="000E4A1C" w:rsidP="00E2075D">
                  <w:pPr>
                    <w:pStyle w:val="af"/>
                    <w:ind w:left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Суды указали: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само по себе заключение нескольких контрактов с единственным поставщиком нельзя считать нарушением, если действия заказчика не посягают на публичные интересы и (или) права третьих лиц, а также не являются результатом </w:t>
                  </w:r>
                  <w:proofErr w:type="spell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антиконкурентного</w:t>
                  </w:r>
                  <w:proofErr w:type="spell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соглашения;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Закон N 44-ФЗ не ограничивает число закупок, которые допустимо проводить у единственного поставщика. Заказчик вправе приобретать одинаковые товары (работы, услуги) у одного лица в любой период. Главное – соблюдать годовой объем и требования к цене контракта;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предметом спорных сделок были неоднородные и неидентичные товары. Инструменты имели разные характеристики, компоненты и назначение;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заказчик не превысил лимит годового объема закупок;</w:t>
                  </w:r>
                </w:p>
                <w:p w:rsidR="000E4A1C" w:rsidRPr="009F64F3" w:rsidRDefault="000E4A1C" w:rsidP="00374DC9">
                  <w:pPr>
                    <w:pStyle w:val="af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прокурор не подтвердил, что стороны достигли </w:t>
                  </w:r>
                  <w:proofErr w:type="spell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антиконкурентного</w:t>
                  </w:r>
                  <w:proofErr w:type="spell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соглашения с целью нарушить публичные интересы и (или) права третьих лиц. Сведения о закупках были доступны широкому кругу организаций. Доказательств того, что кому-то отказали в участии, суду не представили.</w:t>
                  </w:r>
                </w:p>
                <w:p w:rsidR="000E4A1C" w:rsidRPr="000E4A1C" w:rsidRDefault="000E4A1C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E4A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Риски: </w:t>
                  </w:r>
                </w:p>
                <w:p w:rsidR="00FE0CF5" w:rsidRPr="006B3266" w:rsidRDefault="000E4A1C" w:rsidP="00E2075D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практика по вопросу дробления неоднородна. По мнению </w:t>
                  </w:r>
                  <w:proofErr w:type="gram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Минфина</w:t>
                  </w:r>
                  <w:proofErr w:type="gram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(Информационное письмо от 08.06.2022 N 24-01-07/54275), Закон N 44-ФЗ не запрещает совершать несколько одноименных малых закупок у единственного поставщика</w:t>
                  </w:r>
                  <w:r w:rsidR="00E2075D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DC486F" w:rsidRDefault="00324743" w:rsidP="00324743">
      <w:pPr>
        <w:rPr>
          <w:rFonts w:ascii="Century Gothic" w:hAnsi="Century Gothic" w:cs="Century Gothic"/>
          <w:b/>
          <w:sz w:val="28"/>
          <w:szCs w:val="28"/>
        </w:rPr>
      </w:pPr>
    </w:p>
    <w:p w:rsidR="00324743" w:rsidRDefault="00BC682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  <w:r>
        <w:rPr>
          <w:noProof/>
        </w:rPr>
        <w:pict>
          <v:rect id="_x0000_s1465" style="position:absolute;left:0;text-align:left;margin-left:23.35pt;margin-top:373.75pt;width:126.2pt;height:116.5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194360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2343" w:rsidRDefault="00B52343" w:rsidP="00330E7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330E73" w:rsidRPr="001E3A13" w:rsidRDefault="00BC6823" w:rsidP="001E3A13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="001E3A13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Постановление АС Северо-Западного округа от 12.04.2024 по делу N А21-5955/2023</w:t>
                    </w:r>
                  </w:hyperlink>
                </w:p>
                <w:p w:rsidR="00CE2344" w:rsidRDefault="00CE2344" w:rsidP="00CE2344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EE6AE5" w:rsidRPr="00324743" w:rsidRDefault="00EE6AE5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783CDD" w:rsidRDefault="00783CDD" w:rsidP="001C23BE">
      <w:pPr>
        <w:spacing w:after="0" w:line="240" w:lineRule="auto"/>
        <w:rPr>
          <w:rFonts w:ascii="Century Gothic" w:hAnsi="Century Gothic" w:cs="Century Gothic"/>
        </w:rPr>
      </w:pP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7E2FE2" w:rsidP="007E2FE2">
      <w:pPr>
        <w:rPr>
          <w:lang w:eastAsia="ru-RU"/>
        </w:rPr>
      </w:pPr>
    </w:p>
    <w:p w:rsidR="007E2FE2" w:rsidRPr="007E2FE2" w:rsidRDefault="00BC6823" w:rsidP="00BB153F">
      <w:pPr>
        <w:tabs>
          <w:tab w:val="left" w:pos="2618"/>
        </w:tabs>
        <w:rPr>
          <w:lang w:eastAsia="ru-RU"/>
        </w:rPr>
      </w:pPr>
      <w:r>
        <w:rPr>
          <w:noProof/>
          <w:lang w:eastAsia="ru-RU"/>
        </w:rPr>
        <w:pict>
          <v:shape id="_x0000_s1487" type="#_x0000_t202" style="position:absolute;margin-left:171.25pt;margin-top:639.5pt;width:406.75pt;height:43.2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E2075D" w:rsidRPr="009F64F3" w:rsidRDefault="00E2075D" w:rsidP="00E2075D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9F64F3">
                    <w:rPr>
                      <w:color w:val="5F497A"/>
                      <w:sz w:val="19"/>
                      <w:szCs w:val="19"/>
                      <w:u w:val="single"/>
                    </w:rPr>
                    <w:t>ФНС вновь рассказала о работе своего сервиса</w:t>
                  </w:r>
                </w:p>
                <w:p w:rsidR="000E4A1C" w:rsidRDefault="000E4A1C" w:rsidP="000E4A1C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</w:p>
                <w:p w:rsidR="00330E73" w:rsidRPr="006B2B12" w:rsidRDefault="00330E73" w:rsidP="00AB4E85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8C248D" w:rsidRDefault="00330E73" w:rsidP="00330E7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BA00D3" w:rsidRDefault="00330E73" w:rsidP="00330E7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30E73" w:rsidRPr="00EB2687" w:rsidRDefault="00330E73" w:rsidP="00330E73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89" type="#_x0000_t202" style="position:absolute;margin-left:23.35pt;margin-top:639.5pt;width:136.75pt;height:68.7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330E73" w:rsidRPr="00C3622A" w:rsidRDefault="00E2075D" w:rsidP="00330E73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Бухгалтеру коммерческому и бюджетному</w:t>
                  </w:r>
                </w:p>
                <w:p w:rsidR="00330E73" w:rsidRPr="00A56B9E" w:rsidRDefault="00330E73" w:rsidP="00330E73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330E73" w:rsidRPr="00C066C7" w:rsidRDefault="00330E73" w:rsidP="00330E73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86" type="#_x0000_t32" style="position:absolute;margin-left:-12.1pt;margin-top:2.55pt;width:548.2pt;height:.05pt;z-index:251976704" o:connectortype="straight"/>
        </w:pict>
      </w:r>
      <w:r w:rsidR="00BB153F">
        <w:rPr>
          <w:lang w:eastAsia="ru-RU"/>
        </w:rPr>
        <w:tab/>
      </w:r>
    </w:p>
    <w:p w:rsidR="007E2FE2" w:rsidRPr="007E2FE2" w:rsidRDefault="00BC6823" w:rsidP="007E2FE2">
      <w:pPr>
        <w:rPr>
          <w:lang w:eastAsia="ru-RU"/>
        </w:rPr>
      </w:pPr>
      <w:r>
        <w:rPr>
          <w:noProof/>
          <w:lang w:eastAsia="ru-RU"/>
        </w:rPr>
        <w:pict>
          <v:shape id="_x0000_s1488" type="#_x0000_t202" style="position:absolute;margin-left:179.4pt;margin-top:665.65pt;width:402.65pt;height:133.55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330E73" w:rsidRDefault="00330E73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AB4E85" w:rsidRDefault="00E2075D" w:rsidP="00E2075D">
                  <w:pPr>
                    <w:shd w:val="clear" w:color="auto" w:fill="FFFFFF" w:themeFill="background1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В сервисе «Прозрачный бизнес» теперь можно узнать больше о контрагентах.</w:t>
                  </w:r>
                </w:p>
                <w:p w:rsidR="00E2075D" w:rsidRDefault="00E2075D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E2075D" w:rsidRDefault="00E2075D" w:rsidP="00E2075D">
                  <w:pPr>
                    <w:shd w:val="clear" w:color="auto" w:fill="FFFFFF" w:themeFill="background1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снизить расходы, ускорить процессы взаимодействия с контрагентами и упростить работу с документами.</w:t>
                  </w:r>
                </w:p>
                <w:p w:rsidR="00E2075D" w:rsidRDefault="00E2075D" w:rsidP="00E2075D">
                  <w:pPr>
                    <w:shd w:val="clear" w:color="auto" w:fill="CCC0D9" w:themeFill="accent4" w:themeFillTint="66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</w:t>
                  </w: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: </w:t>
                  </w:r>
                </w:p>
                <w:p w:rsidR="00E2075D" w:rsidRPr="00AB4E85" w:rsidRDefault="00E2075D" w:rsidP="00E2075D">
                  <w:pPr>
                    <w:shd w:val="clear" w:color="auto" w:fill="FFFFFF" w:themeFill="background1"/>
                    <w:spacing w:after="0" w:line="240" w:lineRule="auto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в сервисе «Прозрачный бизнес» в карточке теперь есть отметка, что </w:t>
                  </w:r>
                  <w:proofErr w:type="spellStart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>юрлицо</w:t>
                  </w:r>
                  <w:proofErr w:type="spellEnd"/>
                  <w:r w:rsidRPr="009F64F3">
                    <w:rPr>
                      <w:rFonts w:ascii="Century Gothic" w:hAnsi="Century Gothic"/>
                      <w:sz w:val="19"/>
                      <w:szCs w:val="19"/>
                    </w:rPr>
                    <w:t xml:space="preserve"> или ИП является участником ЭД. Это означает, что с таким контрагентом можно обмениваться электронными документами в любое время и из любой точки мира, где есть интернет.</w:t>
                  </w:r>
                </w:p>
              </w:txbxContent>
            </v:textbox>
            <w10:wrap anchorx="page" anchory="page"/>
          </v:shape>
        </w:pict>
      </w:r>
    </w:p>
    <w:p w:rsidR="00E2075D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p w:rsidR="00E2075D" w:rsidRDefault="00BC6823" w:rsidP="00E2075D">
      <w:pPr>
        <w:rPr>
          <w:lang w:eastAsia="ru-RU"/>
        </w:rPr>
      </w:pPr>
      <w:r w:rsidRPr="00F2216D">
        <w:rPr>
          <w:noProof/>
          <w:shd w:val="clear" w:color="auto" w:fill="FFFFFF" w:themeFill="background1"/>
          <w:lang w:eastAsia="ru-RU"/>
        </w:rPr>
        <w:pict>
          <v:rect id="_x0000_s1491" style="position:absolute;margin-left:30pt;margin-top:708.2pt;width:124.95pt;height:91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1" inset="0,0,0,0">
              <w:txbxContent>
                <w:p w:rsidR="00E2075D" w:rsidRDefault="00E2075D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E2075D" w:rsidRDefault="00E2075D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E2075D" w:rsidRDefault="00E2075D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</w:t>
                  </w: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окумент:</w:t>
                  </w:r>
                </w:p>
                <w:p w:rsidR="00E2075D" w:rsidRDefault="00E2075D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E2075D" w:rsidRPr="00C1779C" w:rsidRDefault="00BC6823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hyperlink r:id="rId13" w:history="1">
                    <w:r w:rsidR="00E2075D" w:rsidRPr="008367FF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Информация ФНС России от 03.05.2024</w:t>
                    </w:r>
                  </w:hyperlink>
                </w:p>
                <w:p w:rsidR="00E2075D" w:rsidRPr="003512F3" w:rsidRDefault="00E2075D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E2075D" w:rsidRPr="00383126" w:rsidRDefault="00E2075D" w:rsidP="00E2075D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E2075D" w:rsidRPr="003512F3" w:rsidRDefault="00E2075D" w:rsidP="00E2075D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D5798E" w:rsidRPr="00E2075D" w:rsidRDefault="00D5798E" w:rsidP="00E2075D">
      <w:pPr>
        <w:ind w:firstLine="708"/>
        <w:rPr>
          <w:lang w:eastAsia="ru-RU"/>
        </w:rPr>
      </w:pPr>
    </w:p>
    <w:sectPr w:rsidR="00D5798E" w:rsidRPr="00E2075D" w:rsidSect="00910D17">
      <w:headerReference w:type="default" r:id="rId14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23" w:rsidRDefault="00BC6823" w:rsidP="00735E66">
      <w:pPr>
        <w:spacing w:after="0" w:line="240" w:lineRule="auto"/>
      </w:pPr>
      <w:r>
        <w:separator/>
      </w:r>
    </w:p>
  </w:endnote>
  <w:endnote w:type="continuationSeparator" w:id="0">
    <w:p w:rsidR="00BC6823" w:rsidRDefault="00BC6823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23" w:rsidRDefault="00BC6823" w:rsidP="00735E66">
      <w:pPr>
        <w:spacing w:after="0" w:line="240" w:lineRule="auto"/>
      </w:pPr>
      <w:r>
        <w:separator/>
      </w:r>
    </w:p>
  </w:footnote>
  <w:footnote w:type="continuationSeparator" w:id="0">
    <w:p w:rsidR="00BC6823" w:rsidRDefault="00BC6823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3E9B"/>
    <w:multiLevelType w:val="hybridMultilevel"/>
    <w:tmpl w:val="E77E6A68"/>
    <w:lvl w:ilvl="0" w:tplc="04D004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B43ED6"/>
    <w:multiLevelType w:val="hybridMultilevel"/>
    <w:tmpl w:val="57445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75F23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E4A1C"/>
    <w:rsid w:val="000E6C33"/>
    <w:rsid w:val="000F0A5F"/>
    <w:rsid w:val="000F1B2A"/>
    <w:rsid w:val="000F23F9"/>
    <w:rsid w:val="000F2CB8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3A13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74DC9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93C51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5F9"/>
    <w:rsid w:val="006D4538"/>
    <w:rsid w:val="006D5360"/>
    <w:rsid w:val="006D5A77"/>
    <w:rsid w:val="006E12A7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19D2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68AC"/>
    <w:rsid w:val="00A17171"/>
    <w:rsid w:val="00A20788"/>
    <w:rsid w:val="00A228D9"/>
    <w:rsid w:val="00A24F4D"/>
    <w:rsid w:val="00A33CF8"/>
    <w:rsid w:val="00A344EC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F60"/>
    <w:rsid w:val="00AE142A"/>
    <w:rsid w:val="00AE3B20"/>
    <w:rsid w:val="00AE4789"/>
    <w:rsid w:val="00AF3504"/>
    <w:rsid w:val="00AF5698"/>
    <w:rsid w:val="00B00F29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C6823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28C7"/>
    <w:rsid w:val="00C72E8C"/>
    <w:rsid w:val="00C7387D"/>
    <w:rsid w:val="00C80256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C6CE5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2021E"/>
    <w:rsid w:val="00E206AC"/>
    <w:rsid w:val="00E2075D"/>
    <w:rsid w:val="00E27F50"/>
    <w:rsid w:val="00E30AC4"/>
    <w:rsid w:val="00E323E4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2687"/>
    <w:rsid w:val="00EC0920"/>
    <w:rsid w:val="00EC1530"/>
    <w:rsid w:val="00EC1A0A"/>
    <w:rsid w:val="00EC73FF"/>
    <w:rsid w:val="00ED03AA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16D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B1228"/>
    <w:rsid w:val="00FB16D1"/>
    <w:rsid w:val="00FB2F13"/>
    <w:rsid w:val="00FB52EC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2"/>
    <o:shapelayout v:ext="edit">
      <o:idmap v:ext="edit" data="1"/>
      <o:rules v:ext="edit">
        <o:r id="V:Rule1" type="connector" idref="#_x0000_s1486"/>
        <o:r id="V:Rule2" type="connector" idref="#_x0000_s1467"/>
        <o:r id="V:Rule3" type="connector" idref="#_x0000_s1442"/>
        <o:r id="V:Rule4" type="connector" idref="#_x0000_s1484"/>
      </o:rules>
    </o:shapelayout>
  </w:shapeDefaults>
  <w:decimalSymbol w:val=","/>
  <w:listSeparator w:val=";"/>
  <w15:docId w15:val="{E7BD9E89-F354-43F8-BB28-1B3D89D3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546" TargetMode="External"/><Relationship Id="rId13" Type="http://schemas.openxmlformats.org/officeDocument/2006/relationships/hyperlink" Target="https://login.consultant.ru/link/?req=doc&amp;base=LAW&amp;n=475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ARB&amp;n=808917" TargetMode="External"/><Relationship Id="rId12" Type="http://schemas.openxmlformats.org/officeDocument/2006/relationships/hyperlink" Target="https://login.consultant.ru/link/?req=doc&amp;base=ASZ&amp;n=2982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ISH&amp;n=27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5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53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Ващенкова АА</cp:lastModifiedBy>
  <cp:revision>3</cp:revision>
  <cp:lastPrinted>2024-05-13T01:54:00Z</cp:lastPrinted>
  <dcterms:created xsi:type="dcterms:W3CDTF">2024-05-10T07:17:00Z</dcterms:created>
  <dcterms:modified xsi:type="dcterms:W3CDTF">2024-05-13T01:59:00Z</dcterms:modified>
</cp:coreProperties>
</file>