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5" w:rsidRDefault="00B02655" w:rsidP="00735E66">
      <w:pPr>
        <w:tabs>
          <w:tab w:val="left" w:pos="2528"/>
        </w:tabs>
      </w:pPr>
    </w:p>
    <w:p w:rsidR="00B02655" w:rsidRDefault="00B02655" w:rsidP="00735E66">
      <w:pPr>
        <w:tabs>
          <w:tab w:val="left" w:pos="2528"/>
        </w:tabs>
      </w:pPr>
      <w:r w:rsidRPr="00B172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77.55pt;width:410.8pt;height:235.3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Поправки, касающиеся финансирования предупредительных мер по сокращению травматизма и профзаболеваний, заработают с 16 июня.</w:t>
                  </w:r>
                </w:p>
                <w:p w:rsidR="0069081E" w:rsidRPr="0069081E" w:rsidRDefault="0069081E" w:rsidP="0069081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081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Польза: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за счет средств СФР возместить больше расходов.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расширили перечень мер, расходы на которые можно оплатить за счет взносов. В него включили оценку профессиональных рисков. Если в плане финансирования будет такая мера, то страхователь должен подать: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копию договора с оценивающей организацией. В нем нужно указать число рабочих мест и цену проведения оценки;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сведения о номерах оцениваемых рабочих мест с указанием номера отчета о проведении СОУТ.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уточнили список документов, которые подает страхователь для обоснования. Например, если привлекают стороннюю компанию (агента) к организации санаторно-курортного лечения, подать </w:t>
                  </w:r>
                  <w:proofErr w:type="gramStart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нужно</w:t>
                  </w:r>
                  <w:proofErr w:type="gramEnd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копию договора с ней. В договоре должен быть размер агентского вознаграждения либо иной платы за услуги агента.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441662" w:rsidRDefault="00A228D9" w:rsidP="00B0265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B02655" w:rsidRDefault="00B02655" w:rsidP="00735E66">
      <w:pPr>
        <w:tabs>
          <w:tab w:val="left" w:pos="2528"/>
        </w:tabs>
      </w:pPr>
    </w:p>
    <w:p w:rsidR="00735E66" w:rsidRDefault="00B172D9" w:rsidP="00735E66">
      <w:pPr>
        <w:tabs>
          <w:tab w:val="left" w:pos="2528"/>
        </w:tabs>
      </w:pPr>
      <w:r>
        <w:rPr>
          <w:noProof/>
          <w:lang w:eastAsia="ru-RU"/>
        </w:rPr>
        <w:pict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B02655" w:rsidRPr="00F84AB3" w:rsidRDefault="00B02655" w:rsidP="00B0265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ФИНАНСИРОВАНИЕ МЕР ПО ПРЕДУПРЕЖДЕНИЮ ТРАВМАТИЗМА: МИНТРУД УТОЧНИЛ ПРАВИЛА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01E77">
                    <w:rPr>
                      <w:b/>
                      <w:color w:val="FFFFFF"/>
                      <w:sz w:val="24"/>
                      <w:szCs w:val="24"/>
                    </w:rPr>
                    <w:t>, бюджетному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2C701F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B172D9" w:rsidP="00735E66">
      <w:pPr>
        <w:rPr>
          <w:rFonts w:ascii="Century Gothic" w:hAnsi="Century Gothic"/>
          <w:b/>
          <w:i/>
          <w:sz w:val="16"/>
          <w:szCs w:val="16"/>
        </w:rPr>
      </w:pPr>
      <w:r w:rsidRPr="00B172D9">
        <w:rPr>
          <w:i/>
          <w:noProof/>
          <w:lang w:eastAsia="ru-RU"/>
        </w:rPr>
        <w:pict>
          <v:rect id="Rectangle 336" o:spid="_x0000_s1028" style="position:absolute;margin-left:24.1pt;margin-top:125.45pt;width:124.95pt;height:78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Pr="0071400B" w:rsidRDefault="00B02655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Минтру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д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 России от 19.03.2024 N 123н</w:t>
                    </w:r>
                  </w:hyperlink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B02655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B172D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3.75pt;margin-top:11.55pt;width:548.2pt;height:.05pt;z-index:251951104" o:connectortype="straight"/>
        </w:pict>
      </w:r>
      <w:r w:rsidRPr="00B172D9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340.15pt;width:139.6pt;height:68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коммерческому, бюджетному 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172D9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89.55pt;margin-top:340.1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B02655" w:rsidRPr="00F84AB3" w:rsidRDefault="00B02655" w:rsidP="00B0265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ДЕКЛАРАЦИЯ СДАНА НЕ В СРОК ИЗ-ЗА ТЕХНИЧЕСКОГО СБОЯ – ФНС ПОДСКАЗАЛА, КАК ИЗБЕЖАТЬ ШТРАФА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B02655" w:rsidP="00735E66">
      <w:pPr>
        <w:rPr>
          <w:b/>
        </w:rPr>
      </w:pPr>
      <w:r w:rsidRPr="00B172D9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369.7pt;width:408.8pt;height:204.9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Если по независящим от бухгалтера причинам он не смог сформировать и подать декларацию по ТКС в срок, наказания можно избежать.</w:t>
                  </w:r>
                </w:p>
                <w:p w:rsidR="0004550E" w:rsidRP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55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 действовать в данной ситуации.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в данной ситуации в инспекцию нужно направить подтверждающие документы. Это могут быть письма от разработчика системы или оператора ЭДО о том, что у них не было </w:t>
                  </w:r>
                  <w:proofErr w:type="spellStart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техвозможности</w:t>
                  </w:r>
                  <w:proofErr w:type="spellEnd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 вовремя сформировать или доставить отчетность в инспекцию. Можно направить и документ, который подтверждает дату и время отправки декларации по ТКС;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если такие документы подать до завершения камеральной проверки или до вручения акта, инспекция даже не инициирует наказание. Если документы представить позже вместе с ходатайством, организацию также не оштрафуют.</w:t>
                  </w:r>
                </w:p>
                <w:p w:rsidR="007C7C3B" w:rsidRPr="0069081E" w:rsidRDefault="007C7C3B" w:rsidP="00B0265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B02655" w:rsidP="00735E66">
      <w:r w:rsidRPr="00B172D9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416.05pt;width:126.15pt;height:92.8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02655" w:rsidRPr="00147137" w:rsidRDefault="00B02655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ии от 15.05.2024 N ЗГ-2-15/7345@</w:t>
                    </w:r>
                  </w:hyperlink>
                </w:p>
                <w:p w:rsidR="0004550E" w:rsidRPr="00595739" w:rsidRDefault="0004550E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B0265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7" type="#_x0000_t32" style="position:absolute;left:0;text-align:left;margin-left:-2.2pt;margin-top:9.45pt;width:548.2pt;height:.05pt;z-index:251962368" o:connectortype="straight"/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87.1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04550E" w:rsidRDefault="00B02655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94.4pt;margin-top:593.3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B02655" w:rsidRPr="00F84AB3" w:rsidRDefault="00B02655" w:rsidP="00B0265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ДОЛЖНОСТНОЙ РЕГЛАМЕНТ СЛУЖАЩЕГО: МИНТРУД СКОРРЕКТИРОВАЛ УНИФИЦИРОВАННУЮ ФОРМУ</w:t>
                  </w: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04C7D" w:rsidRDefault="00204C7D" w:rsidP="00D24391">
      <w:pPr>
        <w:ind w:left="-142"/>
      </w:pPr>
    </w:p>
    <w:p w:rsidR="00E376E4" w:rsidRDefault="00B02655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4.65pt;margin-top:626.55pt;width:405.25pt;height:184.1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Обновленную форму должностного регламента госслужащего нужно использовать с 22 июля. Отличий от действующей формы немного.</w:t>
                  </w:r>
                </w:p>
                <w:p w:rsidR="00B02655" w:rsidRPr="00B02655" w:rsidRDefault="00B02655" w:rsidP="00B0265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0265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госорганы смогут внести необходимые изменения в регламент.</w:t>
                  </w: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подразделение госоргана в общих положениях регламента нужно указывать только при его наличии;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исключили пункт, в котором перечислялись права госслужащего;</w:t>
                  </w:r>
                </w:p>
                <w:p w:rsidR="00B02655" w:rsidRPr="00F84AB3" w:rsidRDefault="00B02655" w:rsidP="00B02655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закрепили правило о том, что служащий обязан исполнять иные обязанности, в т. ч. по приказам и распоряжениям других чиновников, должности которых нужно указать.</w:t>
                  </w:r>
                </w:p>
                <w:p w:rsidR="00847888" w:rsidRDefault="00847888" w:rsidP="00760ADA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B02655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646.6pt;width:126.15pt;height:146.8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760AD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02655" w:rsidRDefault="00B02655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руда России от 28.05.2024 N 278</w:t>
                    </w:r>
                  </w:hyperlink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4713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D834D4" w:rsidRPr="00F84AB3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0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разработ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ть и утвердить должностной регламент гражданского служащего</w:t>
                    </w:r>
                  </w:hyperlink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23574" w:rsidRPr="00007B0B" w:rsidRDefault="00123574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B02655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  <w:r w:rsidRPr="00B172D9">
        <w:rPr>
          <w:b w:val="0"/>
          <w:noProof/>
          <w:color w:val="auto"/>
          <w:sz w:val="22"/>
          <w:szCs w:val="22"/>
        </w:rPr>
        <w:lastRenderedPageBreak/>
        <w:pict>
          <v:shape id="_x0000_s1393" type="#_x0000_t202" style="position:absolute;margin-left:171.25pt;margin-top:41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B02655" w:rsidRPr="00F84AB3" w:rsidRDefault="00B02655" w:rsidP="00B0265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ФЕДЕРАЛЬНЫЙ СТРОИТЕЛЬНЫЙ НАДЗОР: МИНСТРОЙ УВЕЛИЧИТ ПЕРЕЧЕНЬ ИНДИКАТОРОВ РИСКА</w:t>
                  </w:r>
                </w:p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B02655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B172D9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3.3pt;margin-top:71.3pt;width:410.8pt;height:217.4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С 17 июня станут выявлять еще один показатель риска нарушения обязательных требований.</w:t>
                  </w: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контролировать соблюдение показателей, чтобы избежать внеплановой проверки.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индикатор такой: в проектную документацию строящегося (реконструируемого) объекта капстроительства с положительным заключением </w:t>
                  </w:r>
                  <w:proofErr w:type="spellStart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госэкспертизы</w:t>
                  </w:r>
                  <w:proofErr w:type="spellEnd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 внесли 4 или более изменений за календарный год. Речь идет о поправках, которые застройщик может сделать без повторной экспертизы.</w:t>
                  </w:r>
                </w:p>
                <w:p w:rsidR="00B02655" w:rsidRPr="00B02655" w:rsidRDefault="00B02655" w:rsidP="00B0265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0265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B02655" w:rsidRPr="00B02655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02655">
                    <w:rPr>
                      <w:rFonts w:ascii="Century Gothic" w:hAnsi="Century Gothic"/>
                      <w:sz w:val="19"/>
                      <w:szCs w:val="19"/>
                    </w:rPr>
                    <w:t>если в 2024 г. выявляют индикаторы риска, по согласованию с прокуратурой вправе провести внеплановую документарную или выездную проверку.</w:t>
                  </w:r>
                </w:p>
                <w:p w:rsidR="005755E9" w:rsidRPr="00010CBA" w:rsidRDefault="005755E9" w:rsidP="00B02655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747B44"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B172D9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B172D9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20.1pt;margin-top:41.55pt;width:136.75pt;height:66.4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2739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tab/>
      </w:r>
    </w:p>
    <w:p w:rsidR="00324743" w:rsidRPr="00324743" w:rsidRDefault="00B172D9" w:rsidP="00324743">
      <w:pPr>
        <w:rPr>
          <w:rFonts w:ascii="Century Gothic" w:hAnsi="Century Gothic" w:cs="Century Gothic"/>
          <w:sz w:val="28"/>
          <w:szCs w:val="28"/>
        </w:rPr>
      </w:pPr>
      <w:r w:rsidRPr="00B172D9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121.85pt;width:121.05pt;height:135.7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69081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Default="0004550E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02655" w:rsidRPr="00147137" w:rsidRDefault="00B02655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Минстроя России от 27.04.2024 N 290/</w:t>
                    </w:r>
                    <w:proofErr w:type="spellStart"/>
                    <w:proofErr w:type="gramStart"/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</w:t>
                    </w:r>
                    <w:proofErr w:type="spellEnd"/>
                    <w:proofErr w:type="gramEnd"/>
                  </w:hyperlink>
                </w:p>
                <w:p w:rsidR="002C701F" w:rsidRPr="000E5FED" w:rsidRDefault="002C701F" w:rsidP="00201E77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B02655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 w:rsidRPr="00B172D9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3.3pt;margin-top:308.55pt;width:143.55pt;height:95.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D834D4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201E77" w:rsidRPr="00C066C7" w:rsidRDefault="00201E77" w:rsidP="00201E77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4.15pt;margin-top:308.5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D834D4" w:rsidRPr="00F84AB3" w:rsidRDefault="00D834D4" w:rsidP="00D834D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МИНФИН РАЗЪЯСНИЛ, КАК ДЕЙСТВОВАТЬ ИСПОЛНИТЕЛЮ ГОСКОНТРАКТА, КОТОРОГО ИСКЛЮЧИЛИ ИЗ РЕЕСТРА СМП</w:t>
                  </w: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B172D9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1.6pt;margin-top:8.9pt;width:548.2pt;height:.05pt;z-index:251969536" o:connectortype="straight"/>
        </w:pict>
      </w:r>
      <w:r w:rsidR="007221B7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D834D4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1.25pt;margin-top:342pt;width:406.15pt;height:186.2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D834D4" w:rsidRPr="00F84AB3" w:rsidRDefault="00D834D4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Минфин рассмотрел такую ситуацию: в документации о </w:t>
                  </w:r>
                  <w:proofErr w:type="spellStart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госзакупке</w:t>
                  </w:r>
                  <w:proofErr w:type="spellEnd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 установлено </w:t>
                  </w:r>
                  <w:proofErr w:type="gramStart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требование</w:t>
                  </w:r>
                  <w:proofErr w:type="gramEnd"/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 xml:space="preserve"> о привлечении к исполнению контракта субподрядчиков из числа СМП и СОНКО. Но победитель закупки сам имеет статус СМП, который в ходе исполнения контракта утратит. Нужно ли ему привлекать к исполнению контракта СМП?</w:t>
                  </w:r>
                </w:p>
                <w:p w:rsidR="00760ADA" w:rsidRPr="00BB1EBA" w:rsidRDefault="00760ADA" w:rsidP="00760A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D834D4" w:rsidRPr="00F84AB3" w:rsidRDefault="00D834D4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нужно ли привлекать к исполнению контракта исполнителей из числа СМП и СОНКО в подобной ситуации.</w:t>
                  </w: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D834D4" w:rsidRPr="00F84AB3" w:rsidRDefault="00D834D4" w:rsidP="00D834D4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по мнению ведомства, победителю не нужно привлекать субподрядчиков из числа СМП и СОНКО, если на момент закупки он имел статус малой компании.</w:t>
                  </w:r>
                </w:p>
                <w:p w:rsidR="0004550E" w:rsidRPr="00903FBD" w:rsidRDefault="0004550E" w:rsidP="00201E77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B02655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margin-left:20.1pt;margin-top:420.25pt;width:131.35pt;height:75.4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ина России от 31.05.2024 N 24-06-07/50609</w:t>
                    </w:r>
                  </w:hyperlink>
                </w:p>
                <w:p w:rsidR="00455114" w:rsidRPr="004366EC" w:rsidRDefault="0045511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760ADA" w:rsidRDefault="00760ADA" w:rsidP="00760ADA">
      <w:pPr>
        <w:shd w:val="clear" w:color="auto" w:fill="FFFFFF" w:themeFill="background1"/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Default="00D834D4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6" type="#_x0000_t202" style="position:absolute;left:0;text-align:left;margin-left:13.3pt;margin-top:542.1pt;width:143.55pt;height:60.25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D834D4" w:rsidRDefault="00D834D4" w:rsidP="00D834D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D834D4" w:rsidRPr="00A56B9E" w:rsidRDefault="00D834D4" w:rsidP="00D834D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D834D4" w:rsidRPr="00C066C7" w:rsidRDefault="00D834D4" w:rsidP="00D834D4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4" type="#_x0000_t202" style="position:absolute;left:0;text-align:left;margin-left:197.8pt;margin-top:548.3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D834D4" w:rsidRPr="00F84AB3" w:rsidRDefault="00D834D4" w:rsidP="00D834D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F84AB3">
                    <w:rPr>
                      <w:color w:val="5F497A"/>
                      <w:sz w:val="19"/>
                      <w:szCs w:val="19"/>
                      <w:u w:val="single"/>
                    </w:rPr>
                    <w:t>МИНТРУД: ДОГОВОР ВНЕШНЕГО СОВМЕСТИТЕЛЯ ИЗ-ЗА УХОДА С ОСНОВНОЙ РАБОТЫ АВТОМАТИЧЕСКИ НЕ МЕНЯЕТСЯ</w:t>
                  </w:r>
                </w:p>
                <w:p w:rsidR="00D834D4" w:rsidRPr="00EE6AE5" w:rsidRDefault="00D834D4" w:rsidP="00D834D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3" type="#_x0000_t32" style="position:absolute;left:0;text-align:left;margin-left:-1.6pt;margin-top:3.65pt;width:548.2pt;height:.05pt;z-index:251974656" o:connectortype="straight"/>
        </w:pict>
      </w:r>
    </w:p>
    <w:p w:rsidR="00201E77" w:rsidRPr="00324743" w:rsidRDefault="00D834D4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5" type="#_x0000_t202" style="position:absolute;left:0;text-align:left;margin-left:173.3pt;margin-top:584.3pt;width:406.15pt;height:236.8pt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D834D4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D834D4" w:rsidRPr="00F84AB3" w:rsidRDefault="00D834D4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Сотрудник работает как внешний совместитель в двух организациях. Компания, где у него было основное место работы, закрылась. Минтруд пояснил, должна ли организация, где сотрудник работает по внешнему совместительству, оформить его на основное место работы.</w:t>
                  </w:r>
                </w:p>
                <w:p w:rsidR="00D834D4" w:rsidRPr="00BB1EBA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D834D4" w:rsidRPr="00F84AB3" w:rsidRDefault="00D834D4" w:rsidP="00D834D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подобной ситуации узнают, как правильно оформить отношения с работниками.</w:t>
                  </w:r>
                </w:p>
                <w:p w:rsidR="00D834D4" w:rsidRPr="00EC73FF" w:rsidRDefault="00D834D4" w:rsidP="00D834D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D834D4" w:rsidRPr="00F84AB3" w:rsidRDefault="00D834D4" w:rsidP="00D834D4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работа по совместительству не может стать основной по умолчанию, полагает ведомство. Для этого нужно исключить из трудового договора условие о совместительстве. В нем надо установить положения, которые применяют к основному месту, например о режиме работы и оплате труда;</w:t>
                  </w:r>
                </w:p>
                <w:p w:rsidR="00D834D4" w:rsidRPr="00F84AB3" w:rsidRDefault="00D834D4" w:rsidP="00D834D4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84AB3">
                    <w:rPr>
                      <w:rFonts w:ascii="Century Gothic" w:hAnsi="Century Gothic"/>
                      <w:sz w:val="19"/>
                      <w:szCs w:val="19"/>
                    </w:rPr>
                    <w:t>трудовой договор по совместительству нельзя скорректировать в одностороннем порядке. По общему правилу условия меняют по соглашению сторон в письменной форме.</w:t>
                  </w:r>
                </w:p>
                <w:p w:rsidR="00D834D4" w:rsidRPr="00903FBD" w:rsidRDefault="00D834D4" w:rsidP="00D834D4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D834D4" w:rsidP="002D547F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rect id="_x0000_s1487" style="position:absolute;margin-left:20.1pt;margin-top:614.1pt;width:131.35pt;height:154.3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D834D4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D834D4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834D4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Минтр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да России от 17.05.2024 N 14-6/ООГ-3039</w:t>
                    </w:r>
                  </w:hyperlink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4713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Путеводитель по кадров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14713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 вопросам. Как изменить существенные условия трудового договора</w:t>
                    </w:r>
                  </w:hyperlink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834D4" w:rsidRPr="004366EC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AD" w:rsidRDefault="00E855AD" w:rsidP="00735E66">
      <w:pPr>
        <w:spacing w:after="0" w:line="240" w:lineRule="auto"/>
      </w:pPr>
      <w:r>
        <w:separator/>
      </w:r>
    </w:p>
  </w:endnote>
  <w:endnote w:type="continuationSeparator" w:id="0">
    <w:p w:rsidR="00E855AD" w:rsidRDefault="00E855AD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AD" w:rsidRDefault="00E855AD" w:rsidP="00735E66">
      <w:pPr>
        <w:spacing w:after="0" w:line="240" w:lineRule="auto"/>
      </w:pPr>
      <w:r>
        <w:separator/>
      </w:r>
    </w:p>
  </w:footnote>
  <w:footnote w:type="continuationSeparator" w:id="0">
    <w:p w:rsidR="00E855AD" w:rsidRDefault="00E855AD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A7"/>
    <w:multiLevelType w:val="hybridMultilevel"/>
    <w:tmpl w:val="B0008B7E"/>
    <w:lvl w:ilvl="0" w:tplc="3F421A2E">
      <w:start w:val="1"/>
      <w:numFmt w:val="bullet"/>
      <w:lvlText w:val="-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4710B"/>
    <w:multiLevelType w:val="hybridMultilevel"/>
    <w:tmpl w:val="18ACCD4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2700"/>
    <w:multiLevelType w:val="hybridMultilevel"/>
    <w:tmpl w:val="EF52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7B04"/>
    <w:multiLevelType w:val="hybridMultilevel"/>
    <w:tmpl w:val="2996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530DD9"/>
    <w:multiLevelType w:val="hybridMultilevel"/>
    <w:tmpl w:val="0486CF20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AD6"/>
    <w:multiLevelType w:val="hybridMultilevel"/>
    <w:tmpl w:val="C2D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0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19"/>
  </w:num>
  <w:num w:numId="20">
    <w:abstractNumId w:val="14"/>
  </w:num>
  <w:num w:numId="2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0C28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1E77"/>
    <w:rsid w:val="0020364C"/>
    <w:rsid w:val="00203C5C"/>
    <w:rsid w:val="002046EF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064B"/>
    <w:rsid w:val="002D1BA9"/>
    <w:rsid w:val="002D3D51"/>
    <w:rsid w:val="002D511B"/>
    <w:rsid w:val="002D547F"/>
    <w:rsid w:val="002D65CF"/>
    <w:rsid w:val="002D678C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3BAF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57DD2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07A3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A4DE2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2E25"/>
    <w:rsid w:val="006540E2"/>
    <w:rsid w:val="00660C15"/>
    <w:rsid w:val="00684286"/>
    <w:rsid w:val="00684BC1"/>
    <w:rsid w:val="006858D0"/>
    <w:rsid w:val="0069081E"/>
    <w:rsid w:val="0069273F"/>
    <w:rsid w:val="00694970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E16C0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0ADA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02655"/>
    <w:rsid w:val="00B1171E"/>
    <w:rsid w:val="00B127CE"/>
    <w:rsid w:val="00B172D9"/>
    <w:rsid w:val="00B20597"/>
    <w:rsid w:val="00B22453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36E49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34D4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5AD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  <o:rules v:ext="edit">
        <o:r id="V:Rule4" type="connector" idref="#_x0000_s1442"/>
        <o:r id="V:Rule5" type="connector" idref="#_x0000_s1477"/>
        <o:r id="V:Rule6" type="connector" idref="#_x0000_s1467"/>
        <o:r id="V:Rule7" type="connector" idref="#_x0000_s14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23476" TargetMode="External"/><Relationship Id="rId13" Type="http://schemas.openxmlformats.org/officeDocument/2006/relationships/hyperlink" Target="https://login.consultant.ru/link/?req=doc&amp;base=QUEST&amp;n=223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8160" TargetMode="External"/><Relationship Id="rId12" Type="http://schemas.openxmlformats.org/officeDocument/2006/relationships/hyperlink" Target="https://login.consultant.ru/link/?req=doc&amp;base=QUEST&amp;n=2234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82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KBO&amp;n=34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8214" TargetMode="External"/><Relationship Id="rId14" Type="http://schemas.openxmlformats.org/officeDocument/2006/relationships/hyperlink" Target="https://login.consultant.ru/link/?req=doc&amp;base=PKV&amp;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2024-06-16T06:35:00Z</dcterms:created>
  <dcterms:modified xsi:type="dcterms:W3CDTF">2024-06-16T06:35:00Z</dcterms:modified>
</cp:coreProperties>
</file>