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3F3F09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3F3F0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left:0;text-align:left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C27F7E" w:rsidRPr="00FD69E9" w:rsidRDefault="00C27F7E" w:rsidP="00C27F7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D69E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СТАТИСТИЧЕСКАЯ ОТЧЕТНОСТЬ ПО ФОРМЕ 11 (СДЕЛКА): РОССТАТ ОБНОВИЛ УКАЗАНИЯ ПО ЗАПОЛНЕНИЮ</w:t>
                  </w: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E6F23" w:rsidRPr="00B56929" w:rsidRDefault="009E6F23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E6F23" w:rsidRPr="00B56929" w:rsidRDefault="009E6F23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E6F23" w:rsidRPr="00B56929" w:rsidRDefault="009E6F23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9E6F23" w:rsidRPr="00B56929" w:rsidRDefault="009E6F23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9E6F23" w:rsidRPr="00B56929" w:rsidRDefault="009E6F23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6A32" w:rsidRPr="00C87B8E" w:rsidRDefault="00756A32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Pr="003F3F09">
        <w:rPr>
          <w:noProof/>
          <w:lang w:eastAsia="ru-RU"/>
        </w:rPr>
        <w:pict>
          <v:shape id="Text Box 324" o:spid="_x0000_s1026" type="#_x0000_t202" style="position:absolute;left:0;text-align:left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27F7E" w:rsidRDefault="00AE7FD5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C27F7E">
                    <w:rPr>
                      <w:b/>
                      <w:color w:val="FFFFFF"/>
                      <w:sz w:val="24"/>
                      <w:szCs w:val="24"/>
                    </w:rPr>
                    <w:t xml:space="preserve"> и бюджетному</w:t>
                  </w:r>
                </w:p>
                <w:p w:rsidR="00C35D7E" w:rsidRDefault="00756A32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3F3F09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3F3F09">
        <w:rPr>
          <w:noProof/>
          <w:lang w:eastAsia="ru-RU"/>
        </w:rPr>
        <w:pict>
          <v:shape id="Text Box 14" o:spid="_x0000_s1030" type="#_x0000_t202" style="position:absolute;left:0;text-align:left;margin-left:169.1pt;margin-top:77.55pt;width:410.8pt;height:169.6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С 1 января 2025 г. обновляются формы статистического наблюдения за наличием и движением основных фондов (средств) и других нефинансовых активов.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47B80" w:rsidRPr="00047B80" w:rsidRDefault="00047B80" w:rsidP="00047B8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047B8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27F7E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применению обновленных форм и правил.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15423" w:rsidRDefault="00515423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C27F7E" w:rsidRPr="00FD69E9" w:rsidRDefault="00C27F7E" w:rsidP="00C27F7E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по форме 11 (сделка) ведомство предусмотрело правило: когда нет наблюдаемого явления, респондент направляет «пустой» отчет. В этом случае заполняют титульный раздел, а в иных разделах ничего не указывают (в т.ч. нули и прочерки);</w:t>
                  </w:r>
                </w:p>
                <w:p w:rsidR="00C27F7E" w:rsidRPr="00FD69E9" w:rsidRDefault="00C27F7E" w:rsidP="00C27F7E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скорректировали также форму 11-НА и указания по ее заполнению.</w:t>
                  </w: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3F3F09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8" style="position:absolute;left:0;text-align:left;margin-left:29.7pt;margin-top:125.45pt;width:119.35pt;height:98.1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C27F7E" w:rsidRDefault="00C27F7E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Default="00C27F7E" w:rsidP="00C27F7E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Росстата от 24.07.2024 N 316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C27F7E" w:rsidP="00847888">
      <w:pPr>
        <w:ind w:firstLine="708"/>
      </w:pPr>
      <w:r w:rsidRPr="003F3F0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-3.75pt;margin-top:17.35pt;width:548.2pt;height:.05pt;z-index:251951104" o:connectortype="straight"/>
        </w:pict>
      </w:r>
    </w:p>
    <w:p w:rsidR="00C42FDD" w:rsidRDefault="00C27F7E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3F3F09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left:0;text-align:left;margin-left:203.4pt;margin-top:265.15pt;width:374.5pt;height:32.2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C27F7E" w:rsidRPr="00FD69E9" w:rsidRDefault="00C27F7E" w:rsidP="00C27F7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D69E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ЭЛЕКТРОННЫЙ ДОКУМЕНТООБОРОТ В УЧРЕЖДЕНИИ: МИНФИН ДАЛ РЕКОМЕНДАЦИИ ПО ЗАПОЛНЕНИЮ ЕЩЕ 4 ФОРМ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3F3F0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left:0;text-align:left;margin-left:20.4pt;margin-top:261.35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047B80" w:rsidRDefault="00512E02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047B80"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D6456E" w:rsidRDefault="00D6456E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6202C3" w:rsidRPr="000701B9" w:rsidRDefault="00C27F7E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3F3F0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left:0;text-align:left;margin-left:176.2pt;margin-top:300.8pt;width:408.8pt;height:220.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Ведомство выпустило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методрекомендации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таким формам:</w:t>
                  </w:r>
                </w:p>
                <w:p w:rsidR="00C27F7E" w:rsidRPr="00FD69E9" w:rsidRDefault="00C27F7E" w:rsidP="00C27F7E">
                  <w:pPr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0510450 «Накладная на внутреннее перемещение нефинансовых активов»;</w:t>
                  </w:r>
                </w:p>
                <w:p w:rsidR="00C27F7E" w:rsidRPr="00FD69E9" w:rsidRDefault="00C27F7E" w:rsidP="00C27F7E">
                  <w:pPr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0510451 «Требование-накладная»;</w:t>
                  </w:r>
                </w:p>
                <w:p w:rsidR="00C27F7E" w:rsidRPr="00FD69E9" w:rsidRDefault="00C27F7E" w:rsidP="00C27F7E">
                  <w:pPr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0510521 «Заявка-обоснование закупки товаров, работ, услуг малого объема через подотчетное лицо»;</w:t>
                  </w:r>
                </w:p>
                <w:p w:rsidR="00C27F7E" w:rsidRPr="00C27F7E" w:rsidRDefault="00C27F7E" w:rsidP="00C27F7E">
                  <w:pPr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0510836 «Акт о результатах инвентаризации наличных денежных средств».</w:t>
                  </w:r>
                </w:p>
                <w:p w:rsidR="00C27F7E" w:rsidRPr="00FD69E9" w:rsidRDefault="00C27F7E" w:rsidP="00C27F7E">
                  <w:pPr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9E6F23" w:rsidRPr="009E6F23" w:rsidRDefault="009E6F23" w:rsidP="009E6F2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E6F2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27F7E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учреждения могут правильно заполнить указанные формы.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C27F7E" w:rsidRPr="00FD69E9" w:rsidRDefault="00C27F7E" w:rsidP="00C27F7E">
                  <w:pPr>
                    <w:pStyle w:val="af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финансисты подробно объяснили, когда и как нужно составлять формы. Например, отметили, что выдачу материальных ценностей со склада или от ответственного лица (если склада нет) нужно оформлять требованием-накладной, а не накладной по форме 0510450;</w:t>
                  </w:r>
                </w:p>
                <w:p w:rsidR="00C27F7E" w:rsidRPr="00FD69E9" w:rsidRDefault="00C27F7E" w:rsidP="00C27F7E">
                  <w:pPr>
                    <w:pStyle w:val="af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описали порядок и особенности заполнения форм с примерами и привели схемы бизнес-процессов к каждой форме.</w:t>
                  </w:r>
                </w:p>
                <w:p w:rsidR="00C70D8E" w:rsidRPr="00C27F7E" w:rsidRDefault="00C70D8E" w:rsidP="00C27F7E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C27F7E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3F3F09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31.7pt;margin-top:320.7pt;width:126.15pt;height:92.8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C27F7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70D8E" w:rsidRDefault="00C70D8E" w:rsidP="00C27F7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C27F7E" w:rsidRPr="00FD69E9" w:rsidRDefault="00C27F7E" w:rsidP="00C27F7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30.07.2024 N 02-06-06/70843</w:t>
                    </w:r>
                  </w:hyperlink>
                </w:p>
                <w:p w:rsidR="009E6F23" w:rsidRPr="00B56929" w:rsidRDefault="009E6F23" w:rsidP="00C70D8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6456E" w:rsidRPr="00595739" w:rsidRDefault="00D6456E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C27F7E" w:rsidP="00D24391">
      <w:pPr>
        <w:ind w:left="-142"/>
      </w:pPr>
      <w:r w:rsidRPr="003F3F09">
        <w:rPr>
          <w:noProof/>
          <w:lang w:eastAsia="ru-RU"/>
        </w:rPr>
        <w:pict>
          <v:shape id="_x0000_s1469" type="#_x0000_t202" style="position:absolute;left:0;text-align:left;margin-left:189.55pt;margin-top:548.75pt;width:381.3pt;height:25.8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C27F7E" w:rsidRPr="00FD69E9" w:rsidRDefault="00C27F7E" w:rsidP="00C27F7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D69E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СУДЫ ПОДДЕРЖАЛИ СОТРУДНИКА, КОТОРЫЙ НЕ ПОДПИСАЛ СОГЛАСИЕ НА ОБРАБОТКУ ПЕРСОНАЛЬНЫХ ДАННЫХ ПО ОБРАЗЦУ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4.7pt;margin-top:9.35pt;width:548.2pt;height:.05pt;z-index:251962368" o:connectortype="straight"/>
        </w:pict>
      </w:r>
      <w:r w:rsidRPr="003F3F09">
        <w:rPr>
          <w:noProof/>
          <w:lang w:eastAsia="ru-RU"/>
        </w:rPr>
        <w:pict>
          <v:shape id="_x0000_s1468" type="#_x0000_t202" style="position:absolute;left:0;text-align:left;margin-left:24.1pt;margin-top:548.7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9E6F23" w:rsidRDefault="009E6F23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047B80" w:rsidRDefault="009E6F23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C27F7E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6.2pt;margin-top:585pt;width:405.25pt;height:211.1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BD269A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C27F7E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Специалист согласился на обработку персональных данных, но не по формам работодателя. Из-за этого ему не предоставили дополнительные льготы: ДМС и дотацию на питание. Он оспорил действия организации.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32C71" w:rsidRDefault="00432C71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27F7E" w:rsidRPr="00FD69E9" w:rsidRDefault="00C27F7E" w:rsidP="00C27F7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какое решение может принять суд в подобной ситуации.</w:t>
                  </w:r>
                </w:p>
                <w:p w:rsidR="009E6F23" w:rsidRDefault="009E6F23" w:rsidP="009E6F23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9F070A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847888" w:rsidRDefault="00C27F7E" w:rsidP="00047B80">
                  <w:pPr>
                    <w:pStyle w:val="af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суд отметил, что нельзя требовать согласие на обработку персональных данных по строгому образцу, а при отказе лишать сотрудника льгот. Они могут зависеть только от деловых и профессиональных качеств работника. Согласие специали</w:t>
                  </w:r>
                  <w:proofErr w:type="gram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ст впр</w:t>
                  </w:r>
                  <w:proofErr w:type="gram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аве выразить в любой форме, которая позволяет подтвердить его получение.</w:t>
                  </w:r>
                </w:p>
              </w:txbxContent>
            </v:textbox>
            <w10:wrap anchorx="page" anchory="page"/>
          </v:shape>
        </w:pict>
      </w:r>
    </w:p>
    <w:p w:rsidR="00E376E4" w:rsidRDefault="00C27F7E" w:rsidP="00EA6F15">
      <w:pPr>
        <w:jc w:val="both"/>
      </w:pPr>
      <w:r>
        <w:rPr>
          <w:noProof/>
          <w:lang w:eastAsia="ru-RU"/>
        </w:rPr>
        <w:pict>
          <v:rect id="_x0000_s1475" style="position:absolute;left:0;text-align:left;margin-left:29.7pt;margin-top:622.4pt;width:126.15pt;height:121.8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9E6F2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24008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C27F7E" w:rsidRDefault="00C27F7E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Опреде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л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ение 1-го КСОЮ от </w:t>
                    </w:r>
                    <w:bookmarkStart w:id="0" w:name="_Hlk173330569"/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18.06.2024 по делу N 88-19257/2024</w:t>
                    </w:r>
                    <w:bookmarkEnd w:id="0"/>
                  </w:hyperlink>
                </w:p>
                <w:p w:rsidR="00C27F7E" w:rsidRDefault="00C27F7E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27F7E" w:rsidRPr="00FD69E9" w:rsidRDefault="00C27F7E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FD69E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C27F7E" w:rsidRPr="00FD69E9" w:rsidRDefault="00C27F7E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Путеводитель по кадровым вопро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ам. Персональные данные работников</w:t>
                    </w:r>
                  </w:hyperlink>
                </w:p>
                <w:p w:rsidR="00C27F7E" w:rsidRPr="00FD69E9" w:rsidRDefault="00C27F7E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23574" w:rsidRPr="00007B0B" w:rsidRDefault="00123574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9E6F2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240083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3F3F09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left:0;text-align:left;margin-left:171.25pt;margin-top:45.8pt;width:412.85pt;height:31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240083" w:rsidRDefault="00240083" w:rsidP="0024008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D69E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 xml:space="preserve">УТВЕРЖДЕН СПИСОК ПРОГРАММ ДЛЯ ПРЕДУСТАНОВКИ </w:t>
                  </w:r>
                </w:p>
                <w:p w:rsidR="00240083" w:rsidRPr="00FD69E9" w:rsidRDefault="00240083" w:rsidP="0024008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D69E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НА НЕКОТОРЫЕ УСТРОЙСТВА В 2025 Г.</w:t>
                  </w:r>
                </w:p>
                <w:p w:rsidR="00437816" w:rsidRDefault="00437816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3F3F09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left:0;text-align:left;margin-left:18.2pt;margin-top:45.8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437816" w:rsidRDefault="009E6F23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Юристу, Руководителю</w:t>
                  </w:r>
                </w:p>
                <w:p w:rsidR="00847888" w:rsidRDefault="00847888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240083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3F3F09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7.8pt;margin-top:83.1pt;width:410.8pt;height:281.0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BD269A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Новый перечень программ для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предустановки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на смартфоны, планшеты, компьютеры, ноутбуки, телевизоры совпадает с </w:t>
                  </w:r>
                  <w:proofErr w:type="gram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действующим</w:t>
                  </w:r>
                  <w:proofErr w:type="gram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CD22D8" w:rsidRPr="006D40A7" w:rsidRDefault="00CD22D8" w:rsidP="00CD22D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BB1EBA" w:rsidRPr="00BB1EBA" w:rsidRDefault="00BB1EB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требованиях законодательства на 2025 г.</w:t>
                  </w:r>
                </w:p>
                <w:p w:rsidR="00C70D8E" w:rsidRDefault="00C70D8E" w:rsidP="00C70D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31B9A" w:rsidRPr="00231B9A" w:rsidRDefault="00231B9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40083" w:rsidRPr="00FD69E9" w:rsidRDefault="00240083" w:rsidP="00240083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на смартфонах и планшетах нужно будет установить 19 программ, среди которых приложения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RuStore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, Дзен,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Rutube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Госуслуги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и Честный знак;</w:t>
                  </w:r>
                </w:p>
                <w:p w:rsidR="00240083" w:rsidRPr="00FD69E9" w:rsidRDefault="00240083" w:rsidP="00240083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на стационарные и портативные компьютеры необходимо будет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предустанавливать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Яндекс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Браузер, офисное ПО и антивирусную программу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Kaspersky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Free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240083" w:rsidRPr="00FD69E9" w:rsidRDefault="00240083" w:rsidP="00240083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на телевизорах надо будет установить 18 программ, в том числе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КиноПоиск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Билайн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ТВ,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Яндекс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Браузер и VK Видео для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Smart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TV.</w:t>
                  </w:r>
                </w:p>
                <w:p w:rsidR="00240083" w:rsidRPr="00FD69E9" w:rsidRDefault="00240083" w:rsidP="00240083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поисковая система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Яндекс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определена в качестве поисковой системы, используемой без дополнительных настроек (по умолчанию).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0083" w:rsidRPr="00240083" w:rsidRDefault="00240083" w:rsidP="0024008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400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за продажу электроники с нарушением требования о </w:t>
                  </w:r>
                  <w:proofErr w:type="spellStart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предустановке</w:t>
                  </w:r>
                  <w:proofErr w:type="spellEnd"/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 xml:space="preserve"> должностным лицам грозит штраф от 30 тыс. до 50 тыс. руб., компаниям – от 50 тыс. до 200 тыс. руб.</w:t>
                  </w: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755E9" w:rsidRPr="00010CBA" w:rsidRDefault="005755E9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240083" w:rsidP="00324743">
      <w:pPr>
        <w:rPr>
          <w:rFonts w:ascii="Century Gothic" w:hAnsi="Century Gothic" w:cs="Century Gothic"/>
          <w:sz w:val="28"/>
          <w:szCs w:val="28"/>
        </w:rPr>
      </w:pPr>
      <w:r w:rsidRPr="003F3F09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114.25pt;width:121.05pt;height:116.3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9E6F2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40083" w:rsidRDefault="00240083" w:rsidP="009E6F2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40083" w:rsidRPr="00FD69E9" w:rsidRDefault="00240083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Распоряжение Прав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тельства РФ от </w:t>
                    </w:r>
                    <w:bookmarkStart w:id="1" w:name="_Hlk173329963"/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25.07.2024 N 1972-р</w:t>
                    </w:r>
                    <w:bookmarkEnd w:id="1"/>
                  </w:hyperlink>
                </w:p>
                <w:p w:rsidR="009E6F23" w:rsidRPr="00B56929" w:rsidRDefault="009E6F23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C701F" w:rsidRPr="000E5FED" w:rsidRDefault="002C701F" w:rsidP="00240083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66EB" w:rsidRPr="004366EC" w:rsidRDefault="00B766EB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240083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3F3F09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-5.05pt;margin-top:26.3pt;width:548.2pt;height:.05pt;z-index:251969536" o:connectortype="straight"/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322E95" w:rsidRPr="00324743" w:rsidRDefault="00240083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left:0;text-align:left;margin-left:18.2pt;margin-top:384.25pt;width:143.55pt;height:94.8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 w:rsidR="009E6F23">
                    <w:rPr>
                      <w:b/>
                      <w:color w:val="FFFFFF"/>
                      <w:sz w:val="26"/>
                      <w:szCs w:val="26"/>
                    </w:rPr>
                    <w:t>у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55114" w:rsidRPr="00A56B9E" w:rsidRDefault="00455114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55114" w:rsidRPr="00C066C7" w:rsidRDefault="00455114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3F3F09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left:0;text-align:left;margin-left:202.95pt;margin-top:391.15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240083" w:rsidRPr="00FD69E9" w:rsidRDefault="00240083" w:rsidP="0024008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D69E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ФАС СЧИТАЕТ, ЧТО ПРИ РАСТОРЖЕНИИ КОНТРАКТА СОГЛАШЕНИЕМ НЕЛЬЗЯ ЗАКЛЮЧИТЬ СДЕЛКУ СО ВТОРЫМ УЧАСТНИКОМ</w:t>
                  </w:r>
                </w:p>
                <w:p w:rsidR="00455114" w:rsidRPr="00007B0B" w:rsidRDefault="00455114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EE6AE5" w:rsidRDefault="00455114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24008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left:0;text-align:left;margin-left:177.95pt;margin-top:433.35pt;width:406.15pt;height:173.1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455114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Ведомство поддержало правовую позицию, которую ранее выразил Минфин, по вопросу возможности расторжения контракта по соглашению сторон и заключения контракта со вторым участником закупки.</w:t>
                  </w:r>
                </w:p>
                <w:p w:rsidR="00322E95" w:rsidRPr="00322E95" w:rsidRDefault="00322E95" w:rsidP="00322E9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22E9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организации в подобной ситуации могут руководствоваться позицией ведомства.</w:t>
                  </w:r>
                </w:p>
                <w:p w:rsidR="00240083" w:rsidRPr="00FD69E9" w:rsidRDefault="00240083" w:rsidP="0024008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EC73FF" w:rsidRDefault="00455114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240083" w:rsidRPr="00FD69E9" w:rsidRDefault="00240083" w:rsidP="00240083">
                  <w:pPr>
                    <w:pStyle w:val="af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D69E9">
                    <w:rPr>
                      <w:rFonts w:ascii="Century Gothic" w:hAnsi="Century Gothic"/>
                      <w:sz w:val="19"/>
                      <w:szCs w:val="19"/>
                    </w:rPr>
                    <w:t>заказчик не может заключить контракт со вторым участником закупки, если отпала потребность в исполнении сделки и ее расторгли по соглашению сторон.</w:t>
                  </w:r>
                </w:p>
                <w:p w:rsidR="00455114" w:rsidRPr="00240083" w:rsidRDefault="00455114" w:rsidP="0024008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40083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margin-left:30.4pt;margin-top:492.25pt;width:127.85pt;height:123.2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322E95" w:rsidRDefault="00455114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40083" w:rsidRPr="00FD69E9" w:rsidRDefault="00240083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ФАС Росс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 от 23.07.2024 N ПИ/65002/24</w:t>
                    </w:r>
                  </w:hyperlink>
                </w:p>
                <w:p w:rsidR="00322E95" w:rsidRDefault="00322E95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40083" w:rsidRPr="00FD69E9" w:rsidRDefault="00240083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FD69E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40083" w:rsidRPr="00FD69E9" w:rsidRDefault="00240083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ние: По ка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</w:t>
                    </w:r>
                    <w:r w:rsidRPr="00FD69E9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им основаниям заказчик может расторгнуть государственный или муниципальный контракт</w:t>
                    </w:r>
                  </w:hyperlink>
                </w:p>
                <w:p w:rsidR="00240083" w:rsidRDefault="00240083" w:rsidP="0024008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C5" w:rsidRDefault="007558C5" w:rsidP="00735E66">
      <w:pPr>
        <w:spacing w:after="0" w:line="240" w:lineRule="auto"/>
      </w:pPr>
      <w:r>
        <w:separator/>
      </w:r>
    </w:p>
  </w:endnote>
  <w:endnote w:type="continuationSeparator" w:id="0">
    <w:p w:rsidR="007558C5" w:rsidRDefault="007558C5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C5" w:rsidRDefault="007558C5" w:rsidP="00735E66">
      <w:pPr>
        <w:spacing w:after="0" w:line="240" w:lineRule="auto"/>
      </w:pPr>
      <w:r>
        <w:separator/>
      </w:r>
    </w:p>
  </w:footnote>
  <w:footnote w:type="continuationSeparator" w:id="0">
    <w:p w:rsidR="007558C5" w:rsidRDefault="007558C5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0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5"/>
  </w:num>
  <w:num w:numId="13">
    <w:abstractNumId w:val="19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1"/>
  </w:num>
  <w:num w:numId="20">
    <w:abstractNumId w:val="13"/>
  </w:num>
  <w:num w:numId="2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27F7E"/>
    <w:rsid w:val="00C33F2D"/>
    <w:rsid w:val="00C35D7E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  <o:rules v:ext="edit">
        <o:r id="V:Rule6" type="connector" idref="#_x0000_s1477"/>
        <o:r id="V:Rule7" type="connector" idref="#_x0000_s1442"/>
        <o:r id="V:Rule8" type="connector" idref="#_x0000_s14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827" TargetMode="External"/><Relationship Id="rId13" Type="http://schemas.openxmlformats.org/officeDocument/2006/relationships/hyperlink" Target="https://login.consultant.ru/link/?req=doc&amp;base=CJI&amp;n=117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696" TargetMode="External"/><Relationship Id="rId12" Type="http://schemas.openxmlformats.org/officeDocument/2006/relationships/hyperlink" Target="https://login.consultant.ru/link/?req=doc&amp;base=LAW&amp;n=4815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62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KV&amp;n=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KSOJ001&amp;n=1768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2017-06-13T01:53:00Z</cp:lastPrinted>
  <dcterms:created xsi:type="dcterms:W3CDTF">2024-08-04T15:13:00Z</dcterms:created>
  <dcterms:modified xsi:type="dcterms:W3CDTF">2024-08-04T15:13:00Z</dcterms:modified>
</cp:coreProperties>
</file>