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587F0C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587F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left:0;text-align:left;margin-left:169.1pt;margin-top:44.3pt;width:401.75pt;height:40.2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<v:textbox inset="0,0,0,0">
              <w:txbxContent>
                <w:p w:rsidR="00CE5B91" w:rsidRPr="006F780F" w:rsidRDefault="00CE5B91" w:rsidP="00CE5B9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6F7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ФНС ОБНОВИЛА ДЕКЛАРАЦИЮ ПО АКЦИЗАМ НА АЛКОГОЛЬ И СЛАДКИЕ НАПИТКИ</w:t>
                  </w:r>
                </w:p>
                <w:p w:rsidR="00CE5B91" w:rsidRPr="005533CB" w:rsidRDefault="00CE5B91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D1868" w:rsidRDefault="00CE5B91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B56929" w:rsidRDefault="00CE5B91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CE5B91" w:rsidRPr="00B56929" w:rsidRDefault="00CE5B91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C87B8E" w:rsidRDefault="00CE5B91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0E5FED" w:rsidRDefault="00CE5B91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A24A94" w:rsidRDefault="00CE5B91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856556" w:rsidRDefault="00CE5B91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AC3149" w:rsidRDefault="00CE5B9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A43CEC" w:rsidRDefault="00CE5B91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1B40C8" w:rsidRDefault="00CE5B91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/>
              </w:txbxContent>
            </v:textbox>
            <w10:wrap anchorx="page" anchory="page"/>
          </v:shape>
        </w:pict>
      </w:r>
      <w:r w:rsidRPr="00587F0C">
        <w:rPr>
          <w:noProof/>
          <w:lang w:eastAsia="ru-RU"/>
        </w:rPr>
        <w:pict>
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CE5B91" w:rsidRDefault="00CE5B91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 и бюджетному </w:t>
                  </w:r>
                </w:p>
                <w:p w:rsidR="00CE5B91" w:rsidRDefault="00CE5B91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CE5B91" w:rsidRPr="00870CCA" w:rsidRDefault="00CE5B91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Pr="0036155D" w:rsidRDefault="00CE5B91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587F0C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587F0C">
        <w:rPr>
          <w:noProof/>
          <w:lang w:eastAsia="ru-RU"/>
        </w:rPr>
        <w:pict>
          <v:shape id="Text Box 14" o:spid="_x0000_s1026" type="#_x0000_t202" style="position:absolute;left:0;text-align:left;margin-left:174.7pt;margin-top:77.6pt;width:410.8pt;height:183.3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<v:textbox inset="0,0,,0">
              <w:txbxContent>
                <w:p w:rsidR="00CE5B91" w:rsidRPr="00BD269A" w:rsidRDefault="00CE5B91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Налоговики скорректировали форму, формат и порядок заполнения декларации по акцизам на этиловый спирт, алкогольную или подакцизную продукцию со спиртом, сахаросодержащие напитки и виноград. Впервые по обновленной форме нужно будет отчитаться за январь 2025 г.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CE5B91" w:rsidRPr="009B20EB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подготовиться к применению обновленной формы.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D1868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в отчете больше не будут указываться акцизы к уменьшению – из раздела 1 убрали строки «Сумма акциза, к уменьшению (в рублях)»;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в разделе 2 переименовали подраздел 2.4.</w:t>
                  </w:r>
                </w:p>
                <w:p w:rsidR="00CE5B91" w:rsidRPr="00FD69E9" w:rsidRDefault="00CE5B91" w:rsidP="00B6288E">
                  <w:pPr>
                    <w:pStyle w:val="af"/>
                    <w:tabs>
                      <w:tab w:val="left" w:pos="284"/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587F0C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91.85pt;z-index:-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<v:shadow on="t" color="#868686"/>
            <v:textbox inset="0,0,0,0">
              <w:txbxContent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Росси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03.09.2024 N ЕД-7-3/694@</w:t>
                    </w:r>
                  </w:hyperlink>
                </w:p>
                <w:p w:rsidR="00CE5B91" w:rsidRPr="00B04EAF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Times New Roman CYR"/>
                      <w:sz w:val="19"/>
                      <w:szCs w:val="19"/>
                    </w:rPr>
                  </w:pPr>
                </w:p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C80297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E5B91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587F0C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left:0;text-align:left;margin-left:204.2pt;margin-top:281.5pt;width:374.5pt;height:27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<v:textbox inset="0,0,0,0">
              <w:txbxContent>
                <w:p w:rsidR="00CE5B91" w:rsidRPr="006F780F" w:rsidRDefault="00CE5B91" w:rsidP="00CE5B9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6F7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ПОЯСНИТЕЛЬНАЯ ЗАПИСКА К ОТЧЕТНОСТИ ФЕДЕРАЛЬНЫХ УЧРЕЖДЕНИЙ: ПОПРАВКИ УЖЕ НА РЕГИСТРАЦИИ В МИНЮСТЕ</w:t>
                  </w:r>
                </w:p>
                <w:p w:rsidR="00CE5B91" w:rsidRPr="00F31774" w:rsidRDefault="00CE5B91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856556" w:rsidRDefault="00CE5B91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CE5B91" w:rsidRPr="00252EF1" w:rsidRDefault="00CE5B91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DD0A9F" w:rsidRDefault="00CE5B91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CE5B91" w:rsidRPr="00A361A1" w:rsidRDefault="00CE5B91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147500" w:rsidRDefault="00CE5B91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33540" w:rsidRDefault="00CE5B91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5B3F27" w:rsidRDefault="00CE5B91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211D3" w:rsidRDefault="00CE5B91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87F0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left:0;text-align:left;margin-left:23.2pt;margin-top:281.5pt;width:139.6pt;height:49.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<v:textbox inset=",0,,0">
              <w:txbxContent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CE5B91" w:rsidRPr="00C066C7" w:rsidRDefault="00CE5B91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left:0;text-align:left;margin-left:-3.7pt;margin-top:1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</w:pict>
      </w:r>
    </w:p>
    <w:p w:rsidR="006202C3" w:rsidRPr="000701B9" w:rsidRDefault="006202C3" w:rsidP="00097C2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CE5B91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587F0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74.7pt;margin-top:322.5pt;width:405.25pt;height:173.05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<v:textbox inset="0,0,,0">
              <w:txbxContent>
                <w:p w:rsidR="00CE5B91" w:rsidRPr="00BD269A" w:rsidRDefault="00CE5B91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bCs/>
                      <w:sz w:val="19"/>
                      <w:szCs w:val="19"/>
                    </w:rPr>
                    <w:t>Минфин вносит небольшие изменения в Инструкции N 33н и N 15н. Применять их нужно будет с отчетности за 2025 г. При регистрации в Минюсте документ может быть изменен.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CE5B91" w:rsidRPr="009B20EB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федеральные учреждения смогут подготовиться к применению новшеств.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CE5B91" w:rsidRPr="006F780F" w:rsidRDefault="00CE5B91" w:rsidP="00CE5B91">
                  <w:pPr>
                    <w:pStyle w:val="af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федеральные ПБС и учреждения, которые размещают данные об активах и обязательствах в системе «Электронный бюджет», станут включать информацию об этом в пояснительную записку (ф. 0503160, ф. 0503760). Уточняют, что </w:t>
                  </w:r>
                  <w:proofErr w:type="spell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бухотчетность</w:t>
                  </w:r>
                  <w:proofErr w:type="spell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нужно </w:t>
                  </w:r>
                  <w:proofErr w:type="gram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составлять</w:t>
                  </w:r>
                  <w:proofErr w:type="gram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по данным, размещенным в этой системе.</w:t>
                  </w:r>
                </w:p>
                <w:p w:rsidR="00CE5B91" w:rsidRPr="00213DA4" w:rsidRDefault="00CE5B91" w:rsidP="005A5857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074E8A" w:rsidRDefault="00CE5B91" w:rsidP="00074E8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CE5B91" w:rsidP="00735E66">
      <w:pPr>
        <w:rPr>
          <w:b/>
        </w:rPr>
      </w:pPr>
      <w:r w:rsidRPr="00587F0C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9.7pt;margin-top:343.15pt;width:126.15pt;height:74.2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CE5B91" w:rsidRDefault="00CE5B91" w:rsidP="00097C2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E5B91" w:rsidRDefault="00CE5B91" w:rsidP="00097C2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CE5B91" w:rsidRPr="00F7399F" w:rsidRDefault="00CE5B91" w:rsidP="00097C21">
                  <w:pPr>
                    <w:shd w:val="clear" w:color="auto" w:fill="FFFFFF" w:themeFill="background1"/>
                    <w:tabs>
                      <w:tab w:val="left" w:pos="1152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нфина России от 30.09.2024 N 143н</w:t>
                    </w:r>
                  </w:hyperlink>
                  <w:r w:rsidRPr="006F780F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9" w:history="1"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каз Минфина России от 30.09.2024 N 142н</w:t>
                    </w:r>
                  </w:hyperlink>
                </w:p>
                <w:p w:rsidR="00CE5B91" w:rsidRDefault="00CE5B91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CE5B91" w:rsidRPr="00213DA4" w:rsidRDefault="00CE5B91" w:rsidP="005A5857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CE5B91" w:rsidRPr="00B309B5" w:rsidRDefault="00CE5B91" w:rsidP="005A585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CE5B91" w:rsidRPr="00B309B5" w:rsidRDefault="00CE5B91" w:rsidP="00074E8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595739" w:rsidRDefault="00CE5B91" w:rsidP="0015384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CE5B91" w:rsidP="00D24391">
      <w:pPr>
        <w:ind w:left="-142"/>
      </w:pPr>
      <w:r>
        <w:rPr>
          <w:noProof/>
          <w:lang w:eastAsia="ru-RU"/>
        </w:rPr>
        <w:pict>
          <v:shape id="AutoShape 443" o:spid="_x0000_s1052" type="#_x0000_t32" style="position:absolute;left:0;text-align:left;margin-left:8.25pt;margin-top:20.8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</w:pict>
      </w:r>
    </w:p>
    <w:p w:rsidR="002C1105" w:rsidRPr="00B60E88" w:rsidRDefault="00CE5B91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034" type="#_x0000_t202" style="position:absolute;left:0;text-align:left;margin-left:16.25pt;margin-top:520.35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<v:textbox inset=",0,,0">
              <w:txbxContent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CE5B91" w:rsidRDefault="00CE5B91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Pr="00C066C7" w:rsidRDefault="00CE5B91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04.2pt;margin-top:520.35pt;width:381.3pt;height:32.25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<v:textbox inset="0,0,0,0">
              <w:txbxContent>
                <w:p w:rsidR="00CE5B91" w:rsidRPr="006F780F" w:rsidRDefault="00CE5B91" w:rsidP="00CE5B9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6F7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ВЫПОЛНЕНИЕ КВОТЫ ДЛЯ ИНВАЛИДОВ: РАЗЪЯСНЕНИЯ МИНТРУДА</w:t>
                  </w:r>
                </w:p>
                <w:p w:rsidR="00CE5B91" w:rsidRPr="005533CB" w:rsidRDefault="00CE5B91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CE5B91" w:rsidRPr="00FD69E9" w:rsidRDefault="00CE5B91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DD0A9F" w:rsidRDefault="00CE5B91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CE5B91" w:rsidRPr="00A361A1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147500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33540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5B3F27" w:rsidRDefault="00CE5B91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211D3" w:rsidRDefault="00CE5B91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04C7D" w:rsidRDefault="00204C7D" w:rsidP="00D24391">
      <w:pPr>
        <w:ind w:left="-142"/>
      </w:pPr>
    </w:p>
    <w:p w:rsidR="00E376E4" w:rsidRDefault="00CE5B91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73.45pt;margin-top:564.3pt;width:405.25pt;height:220.2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<v:textbox inset="0,0,,0">
              <w:txbxContent>
                <w:p w:rsidR="00CE5B91" w:rsidRPr="00BD269A" w:rsidRDefault="00CE5B91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Ведомство дало пояснения по вопросу о включении дистанционных работников и работников с неполным рабочим временем в расчет квоты для приема на работу инвалидов.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CE5B91" w:rsidRPr="00CE5B91" w:rsidRDefault="00CE5B91" w:rsidP="00CE5B9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E5B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руководствоваться пояснением ведомства.</w:t>
                  </w:r>
                </w:p>
                <w:p w:rsidR="00CE5B91" w:rsidRPr="00B04EAF" w:rsidRDefault="00CE5B91" w:rsidP="00980F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CE5B91" w:rsidRDefault="00CE5B91" w:rsidP="00980F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в счет квоты для инвалидов можно учесть специалистов, с которыми трудовые отношения </w:t>
                  </w:r>
                  <w:proofErr w:type="gram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оформлены</w:t>
                  </w:r>
                  <w:proofErr w:type="gram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на условиях: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внешнего совместительства;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неполного рабочего времени;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дистанционного труда.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уточнения ведомства касаются нового порядка выполнения квоты, который действует с 1 сентября 2024 г. Первый раз квоту по нему надо рассчитать до 10 октября.</w:t>
                  </w:r>
                </w:p>
                <w:p w:rsidR="00CE5B91" w:rsidRDefault="00CE5B91" w:rsidP="00980FEF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CE5B91" w:rsidP="00D24391">
      <w:pPr>
        <w:ind w:left="-142"/>
      </w:pPr>
      <w:r>
        <w:rPr>
          <w:noProof/>
          <w:lang w:eastAsia="ru-RU"/>
        </w:rPr>
        <w:pict>
          <v:rect id="Rectangle 451" o:spid="_x0000_s1037" style="position:absolute;left:0;text-align:left;margin-left:23.2pt;margin-top:598.45pt;width:126.15pt;height:168.3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<v:shadow on="t" color="#868686"/>
            <v:textbox inset="0,0,0,0">
              <w:txbxContent>
                <w:p w:rsidR="00CE5B91" w:rsidRDefault="00CE5B91" w:rsidP="00CE5B9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CE5B91" w:rsidRDefault="00CE5B91" w:rsidP="00CE5B9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CE5B91" w:rsidRDefault="00CE5B91" w:rsidP="00CE5B9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Минтруда России от 11.09.2024 N 16-5/ООГ-1690</w:t>
                    </w:r>
                  </w:hyperlink>
                </w:p>
                <w:p w:rsidR="00CE5B91" w:rsidRDefault="00CE5B91" w:rsidP="00CE5B9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6F780F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осуще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твляется квотирование рабочих мест для приема на работу инвалидов</w:t>
                    </w:r>
                  </w:hyperlink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A975E9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587F0C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587F0C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<v:textbox inset=",0,,0">
              <w:txbxContent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CE5B91" w:rsidRDefault="00CE5B91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E5B91" w:rsidRDefault="00CE5B91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CE5B91" w:rsidRPr="00C066C7" w:rsidRDefault="00CE5B91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87F0C">
        <w:rPr>
          <w:rFonts w:ascii="Century Gothic" w:hAnsi="Century Gothic" w:cs="Century Gothic"/>
          <w:noProof/>
          <w:szCs w:val="22"/>
        </w:rPr>
        <w:pict>
          <v:shape id="_x0000_s1040" type="#_x0000_t202" style="position:absolute;left:0;text-align:left;margin-left:172.05pt;margin-top:34.5pt;width:412.8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<v:textbox inset="0,0,0,0">
              <w:txbxContent>
                <w:p w:rsidR="00CE5B91" w:rsidRPr="006F780F" w:rsidRDefault="00CE5B91" w:rsidP="00CE5B9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proofErr w:type="gramStart"/>
                  <w:r w:rsidRPr="006F7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КОНТРОЛЬ ЗА</w:t>
                  </w:r>
                  <w:proofErr w:type="gramEnd"/>
                  <w:r w:rsidRPr="006F7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 МАРКИРОВКОЙ ТОВАРОВ: ПЕРЕЧЕНЬ ИНДИКАТОРОВ РИСКА РАСШИРИТСЯ С 13 ОКТЯБРЯ</w:t>
                  </w:r>
                </w:p>
                <w:p w:rsidR="00CE5B91" w:rsidRPr="000E5FED" w:rsidRDefault="00CE5B91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856556" w:rsidRDefault="00CE5B91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433B78" w:rsidRDefault="00CE5B91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233540" w:rsidRDefault="00CE5B91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511483" w:rsidRDefault="00CE5B91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317DB3" w:rsidRDefault="00CE5B91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587F0C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587F0C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167.4pt;margin-top:69.2pt;width:410.8pt;height:359.9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<v:textbox inset="0,0,,0">
              <w:txbxContent>
                <w:p w:rsidR="00CE5B91" w:rsidRPr="00BD269A" w:rsidRDefault="00CE5B91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Роспотребнадзор</w:t>
                  </w:r>
                  <w:proofErr w:type="spell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утвердил 13 новых индикаторов риска, которые проверяющие будут выявлять в рамках федерального контроля (надзора) в области защиты прав потребителей.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9B20EB" w:rsidRDefault="00CE5B91" w:rsidP="009B20E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B20E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проконтролировать, чтобы показатели не превышали установленных индикаторов.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F07CE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показатели касаются возможных нарушений при розничной продаже отдельных товаров, подлежащих обязательной маркировке: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табачной, </w:t>
                  </w:r>
                  <w:proofErr w:type="spell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безникотиновой</w:t>
                  </w:r>
                  <w:proofErr w:type="spell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и </w:t>
                  </w:r>
                  <w:proofErr w:type="spell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никотинсодержащей</w:t>
                  </w:r>
                  <w:proofErr w:type="spell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продукции, а также устрой</w:t>
                  </w:r>
                  <w:proofErr w:type="gram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ств дл</w:t>
                  </w:r>
                  <w:proofErr w:type="gram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я потребления последней;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упакованной воды;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молочной продукции;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парфюмерно-косметической продукции с </w:t>
                  </w:r>
                  <w:proofErr w:type="spell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антимикробным</w:t>
                  </w:r>
                  <w:proofErr w:type="spell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действием для гигиены рук, а также кожных антисептиков – дезинфицирующих средств;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БАДов</w:t>
                  </w:r>
                  <w:proofErr w:type="spell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CE5B91" w:rsidRDefault="00CE5B91" w:rsidP="00CE5B91">
                  <w:pPr>
                    <w:pStyle w:val="af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о возможных нарушениях в течение календарного месяца будут свидетельствовать данные в системе «Честный знак». Это, к примеру, сведения о реализации определенного объема товара без проверки кода идентификации (касается табака, упакованной воды, молочной продукции), о продаже определенного числа антисептиков и </w:t>
                  </w:r>
                  <w:proofErr w:type="spell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БАДов</w:t>
                  </w:r>
                  <w:proofErr w:type="spell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с кодами маркировки, которых нет в системе.</w:t>
                  </w:r>
                </w:p>
                <w:p w:rsidR="00CE5B91" w:rsidRDefault="00CE5B91" w:rsidP="00CE5B91">
                  <w:pPr>
                    <w:pStyle w:val="af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CE5B91" w:rsidRDefault="00CE5B91" w:rsidP="00CE5B9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E5B9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CE5B91" w:rsidRP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E5B91">
                    <w:rPr>
                      <w:rFonts w:ascii="Century Gothic" w:hAnsi="Century Gothic"/>
                      <w:sz w:val="19"/>
                      <w:szCs w:val="19"/>
                    </w:rPr>
                    <w:t>выявление индикаторов риска может стать основанием для внеплановых контрольных (надзорных) мероприятий в текущем году.</w:t>
                  </w:r>
                </w:p>
                <w:p w:rsidR="00CE5B91" w:rsidRPr="00980FEF" w:rsidRDefault="00CE5B91" w:rsidP="00CE5B91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587F0C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587F0C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21.05pt;height:143.75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CE5B91" w:rsidRDefault="00CE5B91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</w:t>
                    </w:r>
                    <w:proofErr w:type="spellStart"/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Роспотребнад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ора</w:t>
                    </w:r>
                    <w:proofErr w:type="spellEnd"/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</w:t>
                    </w:r>
                    <w:bookmarkStart w:id="0" w:name="_Hlk179213150"/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02.09.2024 N 627</w:t>
                    </w:r>
                    <w:bookmarkEnd w:id="0"/>
                  </w:hyperlink>
                </w:p>
                <w:p w:rsidR="00CE5B91" w:rsidRPr="00B309B5" w:rsidRDefault="00CE5B91" w:rsidP="0015384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0E5FED" w:rsidRDefault="00CE5B91" w:rsidP="00E01AA9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4366EC" w:rsidRDefault="00CE5B91" w:rsidP="00E01AA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CE5B91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587F0C">
        <w:rPr>
          <w:noProof/>
          <w:sz w:val="28"/>
          <w:szCs w:val="28"/>
          <w:lang w:eastAsia="ru-RU"/>
        </w:rPr>
        <w:pict>
          <v:shape id="_x0000_s1046" type="#_x0000_t202" style="position:absolute;left:0;text-align:left;margin-left:1.2pt;margin-top:447.9pt;width:149.85pt;height:108pt;z-index:2519726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<v:textbox inset=",0,,0">
              <w:txbxContent>
                <w:p w:rsidR="00CE5B91" w:rsidRPr="00A56B9E" w:rsidRDefault="00CE5B91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bookmarkStart w:id="1" w:name="_GoBack"/>
                  <w:bookmarkEnd w:id="1"/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CE5B91" w:rsidRPr="00A56B9E" w:rsidRDefault="00CE5B91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CE5B91" w:rsidRPr="00C066C7" w:rsidRDefault="00CE5B91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87F0C">
        <w:rPr>
          <w:noProof/>
          <w:sz w:val="28"/>
          <w:szCs w:val="28"/>
          <w:lang w:eastAsia="ru-RU"/>
        </w:rPr>
        <w:pict>
          <v:shape id="_x0000_s1047" type="#_x0000_t202" style="position:absolute;left:0;text-align:left;margin-left:204.25pt;margin-top:460.9pt;width:365.4pt;height:30.7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<v:textbox inset="0,0,0,0">
              <w:txbxContent>
                <w:p w:rsidR="00CE5B91" w:rsidRPr="006F780F" w:rsidRDefault="00CE5B91" w:rsidP="00CE5B9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6F780F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СУДЫ НАПОМНИЛИ: ЗАМЕНА НЕКАЧЕСТВЕННОГО ТОВАРА ПО ГОСКОНТРАКТУ ИСКЛЮЧАЕТ ВЗЫСКАНИЕ ШТРАФА</w:t>
                  </w:r>
                </w:p>
                <w:p w:rsidR="00CE5B91" w:rsidRPr="00411818" w:rsidRDefault="00CE5B91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EE6AE5" w:rsidRDefault="00CE5B91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left:0;text-align:left;margin-left:-5.45pt;margin-top:1.0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E5B91" w:rsidP="002D547F">
      <w:pPr>
        <w:rPr>
          <w:rFonts w:ascii="Century Gothic" w:hAnsi="Century Gothic" w:cs="Century Gothic"/>
          <w:sz w:val="16"/>
          <w:szCs w:val="16"/>
        </w:rPr>
      </w:pPr>
      <w:r w:rsidRPr="00587F0C">
        <w:rPr>
          <w:noProof/>
          <w:sz w:val="28"/>
          <w:szCs w:val="28"/>
          <w:lang w:eastAsia="ru-RU"/>
        </w:rPr>
        <w:pict>
          <v:shape id="_x0000_s1048" type="#_x0000_t202" style="position:absolute;margin-left:172.05pt;margin-top:502.85pt;width:406.15pt;height:204.05pt;z-index:25197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<v:textbox inset="0,0,,0">
              <w:txbxContent>
                <w:p w:rsidR="00CE5B91" w:rsidRDefault="00CE5B91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E5B91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При исполнении контракта на поставку мазута заказчик выявил несколько партий некачественного товара. Поставщику начислили штраф, но тот его не уплатил. Стороны встретились в суде. Апелляция и кассация не увидели оснований для штрафа, поскольку некачественная продукция была заменена.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Pr="0015384D" w:rsidRDefault="00CE5B91" w:rsidP="0015384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5384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какое решение может принять суд в подобной ситуации.</w:t>
                  </w:r>
                </w:p>
                <w:p w:rsidR="00CE5B91" w:rsidRPr="006F780F" w:rsidRDefault="00CE5B91" w:rsidP="00CE5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E5B91" w:rsidRDefault="00CE5B91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по мнению судов факта замены недостаточно для взыскания штрафа, ведь в итоге заказчик получил надлежащий товар и его интерес был удовлетворен.</w:t>
                  </w:r>
                </w:p>
                <w:p w:rsidR="00CE5B91" w:rsidRPr="006F780F" w:rsidRDefault="00CE5B91" w:rsidP="00CE5B91">
                  <w:pPr>
                    <w:pStyle w:val="af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вывод основан на позиции </w:t>
                  </w:r>
                  <w:proofErr w:type="gramStart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6F780F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(Определение Верховного Суда РФ от 20.01.2022  N 304-ЭС21-26643).</w:t>
                  </w:r>
                </w:p>
                <w:p w:rsidR="00CE5B91" w:rsidRPr="00EC73FF" w:rsidRDefault="00CE5B91" w:rsidP="00CE5B91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E5B91" w:rsidP="002D547F">
      <w:pPr>
        <w:rPr>
          <w:rFonts w:ascii="Century Gothic" w:hAnsi="Century Gothic" w:cs="Century Gothic"/>
          <w:sz w:val="16"/>
          <w:szCs w:val="16"/>
        </w:rPr>
      </w:pPr>
      <w:r w:rsidRPr="00587F0C">
        <w:rPr>
          <w:noProof/>
          <w:sz w:val="28"/>
          <w:szCs w:val="28"/>
        </w:rPr>
        <w:pict>
          <v:rect id="_x0000_s1049" style="position:absolute;margin-left:18pt;margin-top:555.9pt;width:127.85pt;height:88.65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CE5B91" w:rsidRDefault="00CE5B91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Pr="006F780F" w:rsidRDefault="00CE5B91" w:rsidP="00CE5B9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л</w:t>
                    </w:r>
                    <w:r w:rsidRPr="006F780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ение АС Северо-Западного округа от 25.09.2024 по делу  N А56-124734/2023</w:t>
                    </w:r>
                  </w:hyperlink>
                </w:p>
                <w:p w:rsidR="00CE5B91" w:rsidRDefault="00CE5B91" w:rsidP="00CE5B9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CE5B91" w:rsidRPr="00E2471E" w:rsidRDefault="00CE5B91" w:rsidP="00254DC2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5B91" w:rsidRDefault="00CE5B91" w:rsidP="00254DC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91" w:rsidRDefault="00CE5B91" w:rsidP="00735E66">
      <w:pPr>
        <w:spacing w:after="0" w:line="240" w:lineRule="auto"/>
      </w:pPr>
      <w:r>
        <w:separator/>
      </w:r>
    </w:p>
  </w:endnote>
  <w:endnote w:type="continuationSeparator" w:id="0">
    <w:p w:rsidR="00CE5B91" w:rsidRDefault="00CE5B91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91" w:rsidRDefault="00CE5B91" w:rsidP="00735E66">
      <w:pPr>
        <w:spacing w:after="0" w:line="240" w:lineRule="auto"/>
      </w:pPr>
      <w:r>
        <w:separator/>
      </w:r>
    </w:p>
  </w:footnote>
  <w:footnote w:type="continuationSeparator" w:id="0">
    <w:p w:rsidR="00CE5B91" w:rsidRDefault="00CE5B91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CE5B91" w:rsidRPr="009A35D1" w:rsidTr="005A141B">
      <w:tc>
        <w:tcPr>
          <w:tcW w:w="5000" w:type="pct"/>
          <w:vAlign w:val="bottom"/>
        </w:tcPr>
        <w:p w:rsidR="00CE5B91" w:rsidRPr="009A35D1" w:rsidRDefault="00CE5B91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CE5B91" w:rsidRPr="00735E66" w:rsidRDefault="00CE5B91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43BB"/>
    <w:multiLevelType w:val="hybridMultilevel"/>
    <w:tmpl w:val="B852A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34167"/>
    <w:multiLevelType w:val="hybridMultilevel"/>
    <w:tmpl w:val="B166359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7294F"/>
    <w:multiLevelType w:val="hybridMultilevel"/>
    <w:tmpl w:val="DED8AFB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6E3DF5"/>
    <w:multiLevelType w:val="hybridMultilevel"/>
    <w:tmpl w:val="2BCC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39"/>
  </w:num>
  <w:num w:numId="5">
    <w:abstractNumId w:val="5"/>
  </w:num>
  <w:num w:numId="6">
    <w:abstractNumId w:val="9"/>
  </w:num>
  <w:num w:numId="7">
    <w:abstractNumId w:val="24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9"/>
  </w:num>
  <w:num w:numId="13">
    <w:abstractNumId w:val="38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22"/>
  </w:num>
  <w:num w:numId="20">
    <w:abstractNumId w:val="26"/>
  </w:num>
  <w:num w:numId="21">
    <w:abstractNumId w:val="8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1"/>
  </w:num>
  <w:num w:numId="27">
    <w:abstractNumId w:val="2"/>
  </w:num>
  <w:num w:numId="28">
    <w:abstractNumId w:val="15"/>
  </w:num>
  <w:num w:numId="29">
    <w:abstractNumId w:val="4"/>
  </w:num>
  <w:num w:numId="30">
    <w:abstractNumId w:val="17"/>
  </w:num>
  <w:num w:numId="31">
    <w:abstractNumId w:val="25"/>
  </w:num>
  <w:num w:numId="32">
    <w:abstractNumId w:val="35"/>
  </w:num>
  <w:num w:numId="33">
    <w:abstractNumId w:val="11"/>
  </w:num>
  <w:num w:numId="34">
    <w:abstractNumId w:val="7"/>
  </w:num>
  <w:num w:numId="35">
    <w:abstractNumId w:val="14"/>
  </w:num>
  <w:num w:numId="36">
    <w:abstractNumId w:val="34"/>
  </w:num>
  <w:num w:numId="37">
    <w:abstractNumId w:val="37"/>
  </w:num>
  <w:num w:numId="38">
    <w:abstractNumId w:val="20"/>
  </w:num>
  <w:num w:numId="39">
    <w:abstractNumId w:val="30"/>
  </w:num>
  <w:num w:numId="40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97C21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54DC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87F0C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233C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0FEF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027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5B91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0922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AutoShape 418"/>
        <o:r id="V:Rule6" type="connector" idref="#AutoShape 463"/>
        <o:r id="V:Rule7" type="connector" idref="#AutoShape 443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286" TargetMode="External"/><Relationship Id="rId13" Type="http://schemas.openxmlformats.org/officeDocument/2006/relationships/hyperlink" Target="https://login.consultant.ru/link/?req=doc&amp;base=ASZ&amp;n=305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355" TargetMode="External"/><Relationship Id="rId12" Type="http://schemas.openxmlformats.org/officeDocument/2006/relationships/hyperlink" Target="https://login.consultant.ru/link/?req=doc&amp;base=LAW&amp;n=4871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BI&amp;n=3217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QUEST&amp;n=226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28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2024-09-27T08:08:00Z</cp:lastPrinted>
  <dcterms:created xsi:type="dcterms:W3CDTF">2024-10-14T02:24:00Z</dcterms:created>
  <dcterms:modified xsi:type="dcterms:W3CDTF">2024-10-14T02:24:00Z</dcterms:modified>
</cp:coreProperties>
</file>