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41157B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9" type="#_x0000_t202" style="position:absolute;margin-left:169.1pt;margin-top:40.05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D745FB" w:rsidRPr="008362E8" w:rsidRDefault="00D745FB" w:rsidP="00D745F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r w:rsidRPr="008362E8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ПОВЫШАЮЩИЙ</w:t>
                  </w:r>
                  <w:r w:rsidRPr="008362E8">
                    <w:rPr>
                      <w:b w:val="0"/>
                      <w:bCs/>
                      <w:sz w:val="19"/>
                      <w:szCs w:val="19"/>
                    </w:rPr>
                    <w:t xml:space="preserve"> </w:t>
                  </w:r>
                  <w:r w:rsidRPr="008362E8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КОЭФФИЦИЕНТ ДЛЯ РАСХОДОВ: РАСШИРЕН ПЕРЕЧЕНЬ ВЫСОКОТЕХНОЛОГИЧНОГО ОБОРУДОВАНИЯ</w:t>
                  </w:r>
                </w:p>
                <w:p w:rsidR="00756A32" w:rsidRPr="00C87B8E" w:rsidRDefault="00756A32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C701F" w:rsidRPr="000E5FED" w:rsidRDefault="002C701F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7F4FDE" w:rsidRDefault="007F4FDE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756A32" w:rsidRDefault="00AE7FD5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  <w:r w:rsidR="00201E77">
                    <w:rPr>
                      <w:b/>
                      <w:color w:val="FFFFFF"/>
                      <w:sz w:val="24"/>
                      <w:szCs w:val="24"/>
                    </w:rPr>
                    <w:t>, бюджетному</w:t>
                  </w:r>
                  <w:r w:rsidR="00756A32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AD6E3C" w:rsidRPr="00870CCA" w:rsidRDefault="002C701F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41157B" w:rsidP="005D55D8">
      <w:pPr>
        <w:ind w:left="-142"/>
        <w:rPr>
          <w:i/>
        </w:rPr>
      </w:pPr>
      <w:r w:rsidRPr="0041157B">
        <w:rPr>
          <w:noProof/>
          <w:lang w:eastAsia="ru-RU"/>
        </w:rPr>
        <w:pict>
          <v:shape id="Text Box 14" o:spid="_x0000_s1030" type="#_x0000_t202" style="position:absolute;left:0;text-align:left;margin-left:169.1pt;margin-top:72.4pt;width:410.8pt;height:220.4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D745FB" w:rsidRPr="00D745FB" w:rsidRDefault="00D745FB" w:rsidP="00D745F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Правительство скорректировало перечень российского высокотехнологичного оборудования, расходы на которое учитывают с повышающим коэффициентом. Речь идет о формировании первоначальной стоимости ОС. В список добавили продукцию радиоэлектронной промышленности.</w:t>
                  </w:r>
                </w:p>
                <w:p w:rsidR="00515423" w:rsidRPr="00D745FB" w:rsidRDefault="00515423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D745FB" w:rsidRPr="00D745FB" w:rsidRDefault="00D745FB" w:rsidP="00D745FB">
                  <w:pPr>
                    <w:pStyle w:val="af"/>
                    <w:tabs>
                      <w:tab w:val="left" w:pos="284"/>
                    </w:tabs>
                    <w:spacing w:line="240" w:lineRule="auto"/>
                    <w:ind w:left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В обновленный перечень вошли, например: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ноутбуки, включая портативные в защищенном исполнении, для работы в сложной среде эксплуатации (код по ОК 034-2014 (КПЕС 2008) 26.30.11.110);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источники бесперебойного питания (код по ОК 034-2014 (КПЕС 2008) 26.20.40.111);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proofErr w:type="gram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устройства</w:t>
                  </w:r>
                  <w:proofErr w:type="gram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 запоминающие и прочие устройства хранения данных (код по ОК 034-2014 (КПЕС 2008) 26.20.2);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оборудование коммутации сетей с открытой аппаратной платформой без </w:t>
                  </w:r>
                  <w:proofErr w:type="gram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предустановленного</w:t>
                  </w:r>
                  <w:proofErr w:type="gram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 ПО (код по ОК 034-2014 (КПЕС 2008) 26.30.11.114);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средства связи, выполняющие функцию систем коммутации, прочие (код по ОК 034-2014 (КПЕС 2008) 26.30.11.119);</w:t>
                  </w:r>
                </w:p>
                <w:p w:rsidR="00D745FB" w:rsidRPr="008362E8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8362E8">
                    <w:rPr>
                      <w:rFonts w:ascii="Century Gothic" w:hAnsi="Century Gothic"/>
                      <w:sz w:val="19"/>
                      <w:szCs w:val="19"/>
                    </w:rPr>
                    <w:t>аппаратура радиолокационная (код по ОК 034-2014 (КПЕС 2008) 26.51.20.110);</w:t>
                  </w:r>
                </w:p>
                <w:p w:rsidR="00D745FB" w:rsidRPr="008362E8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8362E8">
                    <w:rPr>
                      <w:rFonts w:ascii="Century Gothic" w:hAnsi="Century Gothic"/>
                      <w:sz w:val="19"/>
                      <w:szCs w:val="19"/>
                    </w:rPr>
                    <w:t>радиоаппаратура связи, контроля и управления полетом БВС (код по ОК 034-2014 (КПЕС 2008) 26.51.20.140).</w:t>
                  </w:r>
                </w:p>
                <w:p w:rsidR="00A228D9" w:rsidRPr="00441662" w:rsidRDefault="00A228D9" w:rsidP="00201E77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41157B" w:rsidP="00735E66">
      <w:pPr>
        <w:rPr>
          <w:rFonts w:ascii="Century Gothic" w:hAnsi="Century Gothic"/>
          <w:b/>
          <w:i/>
          <w:sz w:val="16"/>
          <w:szCs w:val="16"/>
        </w:rPr>
      </w:pPr>
      <w:r w:rsidRPr="0041157B">
        <w:rPr>
          <w:i/>
          <w:noProof/>
          <w:lang w:eastAsia="ru-RU"/>
        </w:rPr>
        <w:pict>
          <v:rect id="Rectangle 336" o:spid="_x0000_s1028" style="position:absolute;margin-left:24.1pt;margin-top:125.45pt;width:124.95pt;height:78.1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847888" w:rsidRDefault="00515423" w:rsidP="00760AD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760ADA" w:rsidRDefault="00760ADA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D745FB" w:rsidRPr="008362E8" w:rsidRDefault="0041157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="00D745FB"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Распоряжение Правительства РФ от </w:t>
                    </w:r>
                    <w:bookmarkStart w:id="0" w:name="_Hlk186025389"/>
                    <w:r w:rsidR="00D745FB"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16.12.2024 N 3777-р</w:t>
                    </w:r>
                    <w:bookmarkEnd w:id="0"/>
                  </w:hyperlink>
                </w:p>
                <w:p w:rsidR="00BB1EBA" w:rsidRPr="0071400B" w:rsidRDefault="00BB1EBA" w:rsidP="00760ADA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77FD" w:rsidRDefault="004277FD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41157B" w:rsidP="00735E66">
      <w:pPr>
        <w:rPr>
          <w:b/>
        </w:rPr>
      </w:pPr>
      <w:r w:rsidRPr="0041157B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16.25pt;margin-top:315.45pt;width:139.6pt;height:68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760ADA" w:rsidRDefault="00760ADA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760ADA" w:rsidRDefault="00760ADA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коммерческому, бюджетному </w:t>
                  </w:r>
                </w:p>
                <w:p w:rsidR="00760ADA" w:rsidRDefault="00760ADA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D6456E" w:rsidRPr="00C066C7" w:rsidRDefault="00D6456E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41157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margin-left:1.25pt;margin-top:16.1pt;width:548.2pt;height:.05pt;z-index:251951104" o:connectortype="straight"/>
        </w:pict>
      </w:r>
      <w:r w:rsidRPr="0041157B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89.55pt;margin-top:315.45pt;width:374.5pt;height:22.3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D745FB" w:rsidRPr="008362E8" w:rsidRDefault="00D745FB" w:rsidP="00D745F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r w:rsidRPr="008362E8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ОСВОБОЖДЕНИЕ ОТ НДС И НАЛОГА НА ПРИБЫЛЬ: ФНС УТВЕРДИЛА ФОРМЫ УВЕДОМЛЕНИЙ</w:t>
                  </w:r>
                </w:p>
                <w:p w:rsidR="00D745FB" w:rsidRPr="008362E8" w:rsidRDefault="00D745FB" w:rsidP="00D745FB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F5542D" w:rsidRPr="00856556" w:rsidRDefault="00F5542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847888" w:rsidRPr="00252EF1" w:rsidRDefault="00847888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228D9" w:rsidRPr="00DD0A9F" w:rsidRDefault="00A228D9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A228D9" w:rsidRPr="00A361A1" w:rsidRDefault="00A228D9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735E66" w:rsidP="00735E66"/>
    <w:p w:rsidR="00735E66" w:rsidRPr="007C4C53" w:rsidRDefault="0041157B" w:rsidP="00735E66">
      <w:pPr>
        <w:rPr>
          <w:rFonts w:ascii="Century Gothic" w:hAnsi="Century Gothic"/>
          <w:sz w:val="28"/>
          <w:szCs w:val="28"/>
        </w:rPr>
      </w:pPr>
      <w:r w:rsidRPr="0041157B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2.65pt;margin-top:342.7pt;width:408.8pt;height:217.25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D745FB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D745FB" w:rsidRPr="00D745FB" w:rsidRDefault="00D745FB" w:rsidP="00D745F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С 20 января 2025 г. вступает в силу приказ об установлении форм уведомлений об освобождении от НДС и налога на прибыль, а также форматов подачи этих документов.</w:t>
                  </w:r>
                </w:p>
                <w:p w:rsidR="00404432" w:rsidRPr="00D745FB" w:rsidRDefault="00404432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среди утвержденных форм: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уведомление об использовании права (о его продлении, об отказе от него) на освобождение от уплаты НДС;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уведомление об использовании права на освобождение от уплаты НДС для плательщиков ЕСХН;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уведомление об использовании права (о его продлении, об отказе от него) на освобождение от НДС и налога на прибыль </w:t>
                  </w:r>
                  <w:proofErr w:type="spell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юрлица</w:t>
                  </w:r>
                  <w:proofErr w:type="spell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, которое получило статус участника проекта по осуществлению исследовательской и научно-технологической деятельности.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в первом и третьем уведомлениях есть поле «Сообщаю», в котором нужно проставлять: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1 – при использовании права на освобождение;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2 – при его продлении;</w:t>
                  </w:r>
                </w:p>
                <w:p w:rsidR="00D745FB" w:rsidRPr="008362E8" w:rsidRDefault="00D745FB" w:rsidP="00D745FB">
                  <w:pPr>
                    <w:pStyle w:val="af"/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3 – при отказе от него</w:t>
                  </w:r>
                  <w:r w:rsidRPr="008362E8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7C7C3B" w:rsidRPr="0069081E" w:rsidRDefault="007C7C3B" w:rsidP="0069081E">
                  <w:pPr>
                    <w:tabs>
                      <w:tab w:val="left" w:pos="284"/>
                    </w:tabs>
                    <w:spacing w:after="160" w:line="256" w:lineRule="auto"/>
                    <w:ind w:left="36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Default="0041157B" w:rsidP="00735E66">
      <w:r w:rsidRPr="0041157B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4.1pt;margin-top:395.25pt;width:126.15pt;height:95.9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D6456E" w:rsidRDefault="00D6456E" w:rsidP="00760AD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B1EBA" w:rsidRDefault="00BB1EBA" w:rsidP="00D745F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D745FB" w:rsidRPr="008362E8" w:rsidRDefault="0041157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="00D745FB"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ФНС России от 21.10.2024 N ЕД-7-3/879@</w:t>
                    </w:r>
                  </w:hyperlink>
                </w:p>
                <w:p w:rsidR="0004550E" w:rsidRPr="00595739" w:rsidRDefault="0004550E" w:rsidP="00760AD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41157B" w:rsidP="00D24391">
      <w:pPr>
        <w:ind w:left="-142"/>
      </w:pPr>
      <w:r>
        <w:rPr>
          <w:noProof/>
          <w:lang w:eastAsia="ru-RU"/>
        </w:rPr>
        <w:pict>
          <v:shape id="_x0000_s1467" type="#_x0000_t32" style="position:absolute;left:0;text-align:left;margin-left:-12.8pt;margin-top:23.35pt;width:548.2pt;height:.05pt;z-index:251962368" o:connectortype="straight"/>
        </w:pict>
      </w:r>
    </w:p>
    <w:p w:rsidR="00E376E4" w:rsidRDefault="0041157B" w:rsidP="00D24391">
      <w:pPr>
        <w:ind w:left="-142"/>
      </w:pPr>
      <w:r>
        <w:rPr>
          <w:noProof/>
          <w:lang w:eastAsia="ru-RU"/>
        </w:rPr>
        <w:pict>
          <v:shape id="_x0000_s1468" type="#_x0000_t202" style="position:absolute;left:0;text-align:left;margin-left:16.25pt;margin-top:582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04550E" w:rsidRPr="00D745FB" w:rsidRDefault="00D745FB" w:rsidP="0004550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color w:val="FFFFFF"/>
                      <w:sz w:val="24"/>
                      <w:szCs w:val="24"/>
                      <w:lang w:val="en-US"/>
                    </w:rPr>
                    <w:t>Бухгалтеру</w:t>
                  </w:r>
                  <w:proofErr w:type="spellEnd"/>
                  <w:r>
                    <w:rPr>
                      <w:b/>
                      <w:color w:val="FFFFFF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sz w:val="24"/>
                      <w:szCs w:val="24"/>
                      <w:lang w:val="en-US"/>
                    </w:rPr>
                    <w:t>бюджетному</w:t>
                  </w:r>
                  <w:proofErr w:type="spellEnd"/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9" type="#_x0000_t202" style="position:absolute;left:0;text-align:left;margin-left:189.55pt;margin-top:577.2pt;width:381.3pt;height:22.3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D745FB" w:rsidRPr="008362E8" w:rsidRDefault="00D745FB" w:rsidP="00D745F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r w:rsidRPr="008362E8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СВЕРКА РАСЧЕТОВ ПО ЕНС (ЕНП) ДЛЯ ЗАВЕРШЕНИЯ 2024 ФИНАНСОВОГО ГОДА: РЕКОМЕНДАЦИИ МИНФИНА УЧРЕЖДЕНИЯМ</w:t>
                  </w: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41157B" w:rsidP="00EA6F15">
      <w:pPr>
        <w:jc w:val="both"/>
      </w:pPr>
      <w:r>
        <w:rPr>
          <w:noProof/>
          <w:lang w:eastAsia="ru-RU"/>
        </w:rPr>
        <w:pict>
          <v:shape id="_x0000_s1470" type="#_x0000_t202" style="position:absolute;left:0;text-align:left;margin-left:176.2pt;margin-top:611.45pt;width:405.25pt;height:206.3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EA16DA" w:rsidRPr="00D745FB" w:rsidRDefault="00EA16DA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D745FB" w:rsidRPr="00D745FB" w:rsidRDefault="00D745FB" w:rsidP="00D745F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Минфин ответил на ряд вопросов: когда нужно подать уведомления по НДФЛ, взносам и имущественным налогам в декабре? Каковы особенности заполнения уведомлений? В чем нюансы заполнения заявления о зачете?</w:t>
                  </w:r>
                </w:p>
                <w:p w:rsidR="009F070A" w:rsidRPr="00D745FB" w:rsidRDefault="009F070A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как и в прошлом году, Минфин рекомендовал учреждениям подавать уведомления по ЕНП (ф. 1110355) не так, как предписывает Налоговый кодекс. Отличаются и предельные сроки уплаты платежей;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в уведомлении (ф. 1110355) в поле об отчетном периоде и номере месяца нужно указать такие коды: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34/03 – по НДФЛ за периоды с 1 по 22 декабря;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34/13 – по НДФЛ за периоды с 23 по 31 декабря;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34/02 – по страховым взносам за ноябрь;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34/03 – по страховым взносам за декабрь;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34/04 – по имущественным налогам;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на момент отправки заявления (ф. 1150057) на ЕНС должно быть положительное сальдо, не менее суммы из заявления.</w:t>
                  </w:r>
                </w:p>
                <w:p w:rsidR="00847888" w:rsidRDefault="00847888" w:rsidP="00760AD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CF4F22" w:rsidRDefault="0041157B" w:rsidP="002679F0">
      <w:r>
        <w:rPr>
          <w:noProof/>
          <w:lang w:eastAsia="ru-RU"/>
        </w:rPr>
        <w:pict>
          <v:rect id="_x0000_s1475" style="position:absolute;margin-left:24.1pt;margin-top:639.45pt;width:126.15pt;height:157.3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Default="009F070A" w:rsidP="00D745F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BB1EBA" w:rsidRDefault="00BB1EBA" w:rsidP="00D745F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D745FB" w:rsidRPr="008362E8" w:rsidRDefault="0041157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="00D745FB"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Минфина России от 20.12.2024 N 02-06-09/129397</w:t>
                    </w:r>
                  </w:hyperlink>
                </w:p>
                <w:p w:rsidR="00201E77" w:rsidRPr="00587A24" w:rsidRDefault="00201E77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87A24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D745FB" w:rsidRPr="008362E8" w:rsidRDefault="0041157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0" w:history="1">
                    <w:r w:rsidR="00D745FB"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организациям и ИП уведомить налоговый орган об исчисленных суммах налогов и взносов, перечисляемых посредством ЕНП</w:t>
                    </w:r>
                  </w:hyperlink>
                </w:p>
                <w:p w:rsidR="00123574" w:rsidRPr="00007B0B" w:rsidRDefault="00123574" w:rsidP="00760AD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32C71" w:rsidRDefault="00432C71" w:rsidP="00760AD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41157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41157B">
        <w:rPr>
          <w:rFonts w:ascii="Century Gothic" w:hAnsi="Century Gothic" w:cs="Century Gothic"/>
          <w:noProof/>
          <w:szCs w:val="22"/>
        </w:rPr>
        <w:lastRenderedPageBreak/>
        <w:pict>
          <v:shape id="_x0000_s1393" type="#_x0000_t202" style="position:absolute;margin-left:171.25pt;margin-top:41.55pt;width:412.85pt;height:23.7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D745FB" w:rsidRPr="008362E8" w:rsidRDefault="00D745FB" w:rsidP="00D745F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r w:rsidRPr="008362E8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 xml:space="preserve">ПЛЕНУМ </w:t>
                  </w:r>
                  <w:proofErr w:type="gramStart"/>
                  <w:r w:rsidRPr="008362E8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ВС</w:t>
                  </w:r>
                  <w:proofErr w:type="gramEnd"/>
                  <w:r w:rsidRPr="008362E8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 xml:space="preserve"> РФ РАЗЪЯСНИЛ МАЙСКИЕ ИЗМЕНЕНИЯ В ЗАКОНЕ О БАНКРОТСТВЕ</w:t>
                  </w:r>
                </w:p>
                <w:p w:rsidR="00D745FB" w:rsidRPr="008362E8" w:rsidRDefault="00D745FB" w:rsidP="00D745F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760ADA" w:rsidRPr="00B178D7" w:rsidRDefault="00760ADA" w:rsidP="00760A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2C701F" w:rsidRPr="000E5FED" w:rsidRDefault="002C701F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41157B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margin-left:20.1pt;margin-top:41.55pt;width:136.75pt;height:51.2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D745FB" w:rsidRDefault="00D745FB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60ADA" w:rsidRDefault="00760ADA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D745FB" w:rsidRDefault="00D745FB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41157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41157B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67.8pt;margin-top:65.3pt;width:410.8pt;height:226.1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D745FB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D745FB" w:rsidRPr="00D745FB" w:rsidRDefault="00D745FB" w:rsidP="00D745F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В новом постановлении подробно рассмотрены новеллы из Закона N 107-ФЗ, вступившего в силу 29 мая. Они касаются пороговых сумм для возбуждения дел о банкротстве, порядка рассмотрения обособленных споров и обжалования определений по ним, особенностей банкротства </w:t>
                  </w:r>
                  <w:proofErr w:type="spell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физлиц</w:t>
                  </w:r>
                  <w:proofErr w:type="spell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 и др.</w:t>
                  </w:r>
                </w:p>
                <w:p w:rsidR="00231B9A" w:rsidRPr="00D745FB" w:rsidRDefault="00231B9A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пленум напомнил, что общее пороговое значение для возбуждения дела увеличено с 300 тыс. до 2 </w:t>
                  </w:r>
                  <w:proofErr w:type="spellStart"/>
                  <w:proofErr w:type="gram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млн</w:t>
                  </w:r>
                  <w:proofErr w:type="spellEnd"/>
                  <w:proofErr w:type="gram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 руб. Это значение обязаны соблюдать конкурсные кредиторы, уполномоченные органы, работники (бывшие работники) должника. Ограничение не касается заявлений должников о своем банкротстве;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нельзя отменить определение суда, принятое в документарном порядке при наличии возражений против заявленных требований, если по существу спор разрешен правильно;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если кредитору отказали во включении требования в реестр, он продолжает пользоваться статусом лица, участвующего в деле, до тех пор, пока не завершится процедура обжалования отказа. В частности, такой кредитор может заявлять возражения против требований других кредиторов;</w:t>
                  </w:r>
                </w:p>
                <w:p w:rsidR="00D745FB" w:rsidRPr="008362E8" w:rsidRDefault="00D745FB" w:rsidP="00D745FB">
                  <w:pPr>
                    <w:pStyle w:val="af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новое регулирование предусматривает закрытый </w:t>
                  </w:r>
                  <w:r w:rsidRPr="008362E8">
                    <w:rPr>
                      <w:rFonts w:ascii="Century Gothic" w:hAnsi="Century Gothic"/>
                      <w:sz w:val="19"/>
                      <w:szCs w:val="19"/>
                    </w:rPr>
                    <w:t>перечень судебных актов по обособленным спорам, которые нельзя обжаловать в суде округа.</w:t>
                  </w:r>
                </w:p>
                <w:p w:rsidR="005755E9" w:rsidRPr="00010CBA" w:rsidRDefault="005755E9" w:rsidP="00D745FB">
                  <w:pPr>
                    <w:pStyle w:val="af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41157B" w:rsidP="00324743">
      <w:pPr>
        <w:rPr>
          <w:rFonts w:ascii="Century Gothic" w:hAnsi="Century Gothic" w:cs="Century Gothic"/>
          <w:sz w:val="28"/>
          <w:szCs w:val="28"/>
        </w:rPr>
      </w:pPr>
      <w:r w:rsidRPr="0041157B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25.5pt;margin-top:110.75pt;width:121.05pt;height:72.7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B71132" w:rsidRDefault="000F2CB8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04550E" w:rsidRDefault="0004550E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D745FB" w:rsidRPr="008362E8" w:rsidRDefault="0041157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="00D745FB"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Пленума Верховного Суда РФ от 17.12.2024 N 40</w:t>
                    </w:r>
                  </w:hyperlink>
                </w:p>
                <w:p w:rsidR="002C701F" w:rsidRPr="000E5FED" w:rsidRDefault="002C701F" w:rsidP="00201E77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66EB" w:rsidRPr="004366EC" w:rsidRDefault="00B766EB" w:rsidP="00BB1EB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41157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0" type="#_x0000_t202" style="position:absolute;margin-left:13.3pt;margin-top:297.45pt;width:143.55pt;height:95.5pt;z-index:25197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0" inset=",0,,0">
              <w:txbxContent>
                <w:p w:rsidR="00760ADA" w:rsidRPr="00A56B9E" w:rsidRDefault="00760ADA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и участникам по Закону N </w:t>
                  </w:r>
                  <w:r w:rsidR="00D745FB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201E77" w:rsidRPr="00C066C7" w:rsidRDefault="00201E77" w:rsidP="00201E77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41157B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8" type="#_x0000_t202" style="position:absolute;margin-left:203.2pt;margin-top:297.45pt;width:365.4pt;height:25.85pt;z-index:2519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78" inset="0,0,0,0">
              <w:txbxContent>
                <w:p w:rsidR="00760ADA" w:rsidRPr="00B178D7" w:rsidRDefault="00D745FB" w:rsidP="00760A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8362E8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ПРАКТИКА ФАС ПО ЗАКОНУ N 44-ФЗ: КАКИЕ ОШИБКИ ОТМЕТИЛА СЛУЖБА В ОБЗОРАХ ЗА ОКТЯБРЬ 2024</w:t>
                  </w:r>
                </w:p>
                <w:p w:rsidR="00455114" w:rsidRPr="00EE6AE5" w:rsidRDefault="00455114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41157B">
        <w:rPr>
          <w:noProof/>
        </w:rPr>
        <w:pict>
          <v:shape id="_x0000_s1483" type="#_x0000_t32" style="position:absolute;margin-left:.45pt;margin-top:19.85pt;width:548.2pt;height:.05pt;z-index:251974656" o:connectortype="straight"/>
        </w:pict>
      </w:r>
    </w:p>
    <w:p w:rsidR="00324743" w:rsidRPr="00324743" w:rsidRDefault="0041157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79" type="#_x0000_t202" style="position:absolute;margin-left:177.95pt;margin-top:323.3pt;width:406.15pt;height:213.2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9" inset="0,0,,0">
              <w:txbxContent>
                <w:p w:rsidR="00455114" w:rsidRDefault="00455114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D745FB" w:rsidRPr="00D745FB" w:rsidRDefault="00D745FB" w:rsidP="00D745F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В октябрьские обзоры практики вошли такие ситуации: </w:t>
                  </w:r>
                  <w:proofErr w:type="spell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госзаказчики</w:t>
                  </w:r>
                  <w:proofErr w:type="spell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 формировали слишком крупные лоты, устанавливали неверный порядок оценки и незаконно отстраняли участников от закупок </w:t>
                  </w:r>
                  <w:proofErr w:type="gram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с</w:t>
                  </w:r>
                  <w:proofErr w:type="gram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 универсальной </w:t>
                  </w:r>
                  <w:proofErr w:type="spell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предквалификацией</w:t>
                  </w:r>
                  <w:proofErr w:type="spell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.</w:t>
                  </w:r>
                </w:p>
                <w:p w:rsidR="00455114" w:rsidRPr="00D745FB" w:rsidRDefault="00455114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заказчик проводил открытый конкурс на работы по содержанию региональных и межмуниципальных дорог. НМЦК составила 1,8 </w:t>
                  </w:r>
                  <w:proofErr w:type="spellStart"/>
                  <w:proofErr w:type="gram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млрд</w:t>
                  </w:r>
                  <w:proofErr w:type="spellEnd"/>
                  <w:proofErr w:type="gram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 руб. К участникам предъявляли </w:t>
                  </w:r>
                  <w:proofErr w:type="spell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доптребования</w:t>
                  </w:r>
                  <w:proofErr w:type="spell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. ФАС сочла объект закупки слишком крупным. Заказчик не учел критерии формирования лотов для подобных закупок;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заказчик приобретал работы по реконструкции очистных сооружений и установил </w:t>
                  </w:r>
                  <w:proofErr w:type="spell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доптребования</w:t>
                  </w:r>
                  <w:proofErr w:type="spell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. При оценке квалификации применялся показатель «Наибольшая цена исполненного договора». Предельное минимальное значение характеристики составило 100% НМЦК. Контролеры и суд признали порядок оценки некорректным. Предельное минимальное значение характеристики в порядке оценки не должно превышать порог цены подтверждающего договора по Постановлению N 2571;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участника отстранили от закупки с универсальной </w:t>
                  </w:r>
                  <w:proofErr w:type="spellStart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предквалификацией</w:t>
                  </w:r>
                  <w:proofErr w:type="spellEnd"/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 xml:space="preserve"> из-за неполного комплекта документов, хотя он предоставил для подтверждения опыта номер реестровой записи. ФАС решила, что заказчик поступил незаконно.</w:t>
                  </w:r>
                </w:p>
                <w:p w:rsidR="0004550E" w:rsidRPr="00D745FB" w:rsidRDefault="0004550E" w:rsidP="00D745F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DC486F" w:rsidRDefault="00455114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760ADA" w:rsidRDefault="0041157B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481" style="position:absolute;left:0;text-align:left;margin-left:20.1pt;margin-top:402.85pt;width:131.35pt;height:124.3pt;z-index:-25134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1" inset="0,0,0,0">
              <w:txbxContent>
                <w:p w:rsidR="00455114" w:rsidRDefault="00455114" w:rsidP="00201E7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760ADA" w:rsidRDefault="00760ADA" w:rsidP="00201E7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D745FB" w:rsidRPr="008362E8" w:rsidRDefault="0041157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="00D745FB"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административной практики по Закону N 44-ФЗ (октябрь 2024 года)</w:t>
                    </w:r>
                  </w:hyperlink>
                  <w:r w:rsidR="00D745FB" w:rsidRPr="008362E8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3" w:history="1">
                    <w:r w:rsidR="00D745FB"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судебной практики по Закону N 44-ФЗ (октябрь 2024 года)</w:t>
                    </w:r>
                  </w:hyperlink>
                  <w:r w:rsidR="00D745FB" w:rsidRPr="008362E8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14" w:history="1">
                    <w:r w:rsidR="00D745FB"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практики рассмотрения жалоб по Закону N 44-ФЗ (октябрь 2024 года)</w:t>
                    </w:r>
                  </w:hyperlink>
                </w:p>
                <w:p w:rsidR="00455114" w:rsidRPr="004366EC" w:rsidRDefault="00455114" w:rsidP="00760AD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41157B" w:rsidP="002D547F">
      <w:pPr>
        <w:rPr>
          <w:rFonts w:ascii="Century Gothic" w:hAnsi="Century Gothic" w:cs="Century Gothic"/>
          <w:sz w:val="16"/>
          <w:szCs w:val="16"/>
        </w:rPr>
      </w:pPr>
      <w:r w:rsidRPr="0041157B">
        <w:rPr>
          <w:noProof/>
          <w:sz w:val="28"/>
          <w:szCs w:val="28"/>
        </w:rPr>
        <w:pict>
          <v:shape id="_x0000_s1484" type="#_x0000_t202" style="position:absolute;margin-left:213.2pt;margin-top:540.7pt;width:365.4pt;height:25.85pt;z-index:25197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4" inset="0,0,0,0">
              <w:txbxContent>
                <w:p w:rsidR="00D745FB" w:rsidRPr="00D745FB" w:rsidRDefault="00D745FB" w:rsidP="00D745FB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  <w:r w:rsidRPr="008362E8"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  <w:t>ИНОСТРАННЫЕ РАБОТНИКИ В РАЗНЫХ ОТРАСЛЯХ: ПРАВИТЕЛЬСТВО УСТАНОВИЛО КВОТЫ НА 2025 Г.</w:t>
                  </w:r>
                </w:p>
              </w:txbxContent>
            </v:textbox>
            <w10:wrap anchorx="page" anchory="page"/>
          </v:shape>
        </w:pict>
      </w:r>
      <w:r w:rsidRPr="0041157B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7" type="#_x0000_t32" style="position:absolute;margin-left:11.6pt;margin-top:14.15pt;width:548.2pt;height:.05pt;z-index:251969536" o:connectortype="straight"/>
        </w:pict>
      </w:r>
    </w:p>
    <w:p w:rsidR="002D547F" w:rsidRPr="002D547F" w:rsidRDefault="0041157B" w:rsidP="002D547F">
      <w:pPr>
        <w:rPr>
          <w:rFonts w:ascii="Century Gothic" w:hAnsi="Century Gothic" w:cs="Century Gothic"/>
          <w:sz w:val="16"/>
          <w:szCs w:val="16"/>
        </w:rPr>
      </w:pPr>
      <w:r w:rsidRPr="0041157B">
        <w:rPr>
          <w:noProof/>
          <w:sz w:val="28"/>
          <w:szCs w:val="28"/>
        </w:rPr>
        <w:pict>
          <v:shape id="_x0000_s1486" type="#_x0000_t202" style="position:absolute;margin-left:20.1pt;margin-top:545.15pt;width:143.55pt;height:39.45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6" inset=",0,,0">
              <w:txbxContent>
                <w:p w:rsidR="00D745FB" w:rsidRPr="00A56B9E" w:rsidRDefault="00D745FB" w:rsidP="00D745FB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Кадровику</w:t>
                  </w:r>
                </w:p>
                <w:p w:rsidR="00D745FB" w:rsidRPr="00C066C7" w:rsidRDefault="00D745FB" w:rsidP="00D745FB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41157B" w:rsidP="002D547F">
      <w:pPr>
        <w:rPr>
          <w:rFonts w:ascii="Century Gothic" w:hAnsi="Century Gothic" w:cs="Century Gothic"/>
          <w:sz w:val="16"/>
          <w:szCs w:val="16"/>
        </w:rPr>
      </w:pPr>
      <w:r w:rsidRPr="0041157B">
        <w:rPr>
          <w:noProof/>
          <w:sz w:val="28"/>
          <w:szCs w:val="28"/>
        </w:rPr>
        <w:pict>
          <v:shape id="_x0000_s1485" type="#_x0000_t202" style="position:absolute;margin-left:177.95pt;margin-top:570.85pt;width:406.15pt;height:244.3pt;z-index:25197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5" inset="0,0,,0">
              <w:txbxContent>
                <w:p w:rsidR="00D745FB" w:rsidRDefault="00D745FB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D745FB" w:rsidRPr="00D745FB" w:rsidRDefault="00D745FB" w:rsidP="00D745F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Ограничения по допустимой доле работников-иностранцев затрагивают отдельные регионы. Общие квоты по стране на 2025 г. для разных видов деятельности такие же, как сейчас.</w:t>
                  </w:r>
                </w:p>
                <w:p w:rsidR="00D745FB" w:rsidRPr="00D745FB" w:rsidRDefault="00D745FB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D745FB" w:rsidRPr="00D745FB" w:rsidRDefault="00D745FB" w:rsidP="00D745FB">
                  <w:pPr>
                    <w:pStyle w:val="af"/>
                    <w:tabs>
                      <w:tab w:val="left" w:pos="284"/>
                    </w:tabs>
                    <w:ind w:left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Нельзя привлекать иностранцев, в частности: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в Калужской области – для розничной торговли (кроме торговли автотранспортом и мотоциклами), работы в охране, рекламных агентствах, образовательных организациях и др.;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в Оренбургской области – для работы в такси, сухопутном пассажирском транспорте (городское и пригородное сообщение) и специализированных розничных магазинах, где продают алкоголь и табак;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в Самарской области – для оптовой торговли алкоголем и табаком, розничной торговли такими товарами в специализированных магазинах, а также для работ по трудоустройству и подбору персонала;</w:t>
                  </w:r>
                </w:p>
                <w:p w:rsidR="00D745FB" w:rsidRPr="00D745FB" w:rsidRDefault="00D745FB" w:rsidP="00D745FB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sz w:val="18"/>
                      <w:szCs w:val="18"/>
                    </w:rPr>
                    <w:t>в Свердловской области – для перевозки опасных грузов, работы в такси и др.</w:t>
                  </w:r>
                </w:p>
                <w:p w:rsidR="00D745FB" w:rsidRPr="00D745FB" w:rsidRDefault="00D745FB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D745FB" w:rsidRPr="008362E8" w:rsidRDefault="00D745FB" w:rsidP="00D745FB">
                  <w:pPr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8362E8">
                    <w:rPr>
                      <w:rFonts w:ascii="Century Gothic" w:hAnsi="Century Gothic"/>
                      <w:sz w:val="19"/>
                      <w:szCs w:val="19"/>
                    </w:rPr>
                    <w:t xml:space="preserve">за несоблюдение ограничений работодателям грозит штраф от 800 тыс. до 1 </w:t>
                  </w:r>
                  <w:proofErr w:type="spellStart"/>
                  <w:proofErr w:type="gramStart"/>
                  <w:r w:rsidRPr="008362E8">
                    <w:rPr>
                      <w:rFonts w:ascii="Century Gothic" w:hAnsi="Century Gothic"/>
                      <w:sz w:val="19"/>
                      <w:szCs w:val="19"/>
                    </w:rPr>
                    <w:t>млн</w:t>
                  </w:r>
                  <w:proofErr w:type="spellEnd"/>
                  <w:proofErr w:type="gramEnd"/>
                  <w:r w:rsidRPr="008362E8">
                    <w:rPr>
                      <w:rFonts w:ascii="Century Gothic" w:hAnsi="Century Gothic"/>
                      <w:sz w:val="19"/>
                      <w:szCs w:val="19"/>
                    </w:rPr>
                    <w:t xml:space="preserve"> руб. или приостановка деятельности на срок от 14 до 90 суток. Должностное лицо могут оштрафовать на сумму от 45 тыс. до 50 тыс. руб.</w:t>
                  </w:r>
                </w:p>
                <w:p w:rsidR="00D745FB" w:rsidRPr="00903FBD" w:rsidRDefault="00D745FB" w:rsidP="00D745F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41157B" w:rsidP="002D547F">
      <w:pPr>
        <w:rPr>
          <w:rFonts w:ascii="Century Gothic" w:hAnsi="Century Gothic" w:cs="Century Gothic"/>
          <w:sz w:val="16"/>
          <w:szCs w:val="16"/>
        </w:rPr>
      </w:pPr>
      <w:r w:rsidRPr="0041157B">
        <w:rPr>
          <w:noProof/>
          <w:lang w:eastAsia="ru-RU"/>
        </w:rPr>
        <w:pict>
          <v:rect id="_x0000_s1487" style="position:absolute;margin-left:25.5pt;margin-top:595.7pt;width:131.35pt;height:132.85pt;z-index:-25133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7" inset="0,0,0,0">
              <w:txbxContent>
                <w:p w:rsidR="00D745FB" w:rsidRDefault="00D745F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D745FB" w:rsidRDefault="00D745F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D745FB" w:rsidRPr="008362E8" w:rsidRDefault="0041157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history="1">
                    <w:r w:rsidR="00D745FB"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Правительства РФ от 16.12.2024 N 1796</w:t>
                    </w:r>
                  </w:hyperlink>
                </w:p>
                <w:p w:rsidR="00D745FB" w:rsidRPr="008362E8" w:rsidRDefault="00D745F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8362E8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Дополнительные материалы по </w:t>
                  </w:r>
                  <w:proofErr w:type="spellStart"/>
                  <w:r w:rsidRPr="008362E8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теме:</w:t>
                  </w:r>
                  <w:hyperlink r:id="rId16" w:history="1">
                    <w:r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</w:t>
                    </w:r>
                    <w:proofErr w:type="spellEnd"/>
                    <w:r w:rsidRPr="008362E8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решение: Какие есть особенности увольнения работника-иностранца</w:t>
                    </w:r>
                  </w:hyperlink>
                </w:p>
                <w:p w:rsidR="00D745FB" w:rsidRPr="004366EC" w:rsidRDefault="00D745FB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17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AF" w:rsidRDefault="00433BAF" w:rsidP="00735E66">
      <w:pPr>
        <w:spacing w:after="0" w:line="240" w:lineRule="auto"/>
      </w:pPr>
      <w:r>
        <w:separator/>
      </w:r>
    </w:p>
  </w:endnote>
  <w:end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AF" w:rsidRDefault="00433BAF" w:rsidP="00735E66">
      <w:pPr>
        <w:spacing w:after="0" w:line="240" w:lineRule="auto"/>
      </w:pPr>
      <w:r>
        <w:separator/>
      </w:r>
    </w:p>
  </w:footnote>
  <w:foot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22"/>
  </w:num>
  <w:num w:numId="5">
    <w:abstractNumId w:val="5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12"/>
  </w:num>
  <w:num w:numId="11">
    <w:abstractNumId w:val="2"/>
  </w:num>
  <w:num w:numId="12">
    <w:abstractNumId w:val="17"/>
  </w:num>
  <w:num w:numId="13">
    <w:abstractNumId w:val="18"/>
  </w:num>
  <w:num w:numId="14">
    <w:abstractNumId w:val="3"/>
  </w:num>
  <w:num w:numId="15">
    <w:abstractNumId w:val="1"/>
  </w:num>
  <w:num w:numId="16">
    <w:abstractNumId w:val="7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9"/>
  </w:num>
  <w:num w:numId="22">
    <w:abstractNumId w:val="20"/>
  </w:num>
  <w:num w:numId="23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/>
    <o:shapelayout v:ext="edit">
      <o:idmap v:ext="edit" data="1"/>
      <o:rules v:ext="edit">
        <o:r id="V:Rule5" type="connector" idref="#_x0000_s1483"/>
        <o:r id="V:Rule6" type="connector" idref="#_x0000_s1467"/>
        <o:r id="V:Rule7" type="connector" idref="#_x0000_s1442"/>
        <o:r id="V:Rule8" type="connector" idref="#_x0000_s14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724" TargetMode="External"/><Relationship Id="rId13" Type="http://schemas.openxmlformats.org/officeDocument/2006/relationships/hyperlink" Target="https://login.consultant.ru/link/?req=doc&amp;base=CJI&amp;n=1557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544" TargetMode="External"/><Relationship Id="rId12" Type="http://schemas.openxmlformats.org/officeDocument/2006/relationships/hyperlink" Target="https://login.consultant.ru/link/?req=doc&amp;base=CJI&amp;n=15572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2393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9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3846" TargetMode="External"/><Relationship Id="rId10" Type="http://schemas.openxmlformats.org/officeDocument/2006/relationships/hyperlink" Target="https://login.consultant.ru/link/?req=doc&amp;base=PKBO&amp;n=6086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850" TargetMode="External"/><Relationship Id="rId14" Type="http://schemas.openxmlformats.org/officeDocument/2006/relationships/hyperlink" Target="https://login.consultant.ru/link/?req=doc&amp;base=CJI&amp;n=155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3</cp:revision>
  <cp:lastPrinted>2017-06-13T01:53:00Z</cp:lastPrinted>
  <dcterms:created xsi:type="dcterms:W3CDTF">2025-01-13T02:41:00Z</dcterms:created>
  <dcterms:modified xsi:type="dcterms:W3CDTF">2025-01-13T02:50:00Z</dcterms:modified>
</cp:coreProperties>
</file>